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9DB4F" w14:textId="4671CE05" w:rsidR="004D36D7" w:rsidRPr="00FD4A68" w:rsidRDefault="00650807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Pr="00FD4A68">
        <w:t xml:space="preserve"> </w:t>
      </w:r>
      <w:r w:rsidR="009435D1">
        <w:t>–</w:t>
      </w:r>
      <w:r w:rsidR="002D6C2A" w:rsidRPr="00FD4A68">
        <w:t xml:space="preserve"> </w:t>
      </w:r>
      <w:r w:rsidR="009354B6">
        <w:t>Configure Standard IPv4 ACLs</w:t>
      </w:r>
      <w:r w:rsidR="004D36D7" w:rsidRPr="00FD4A68">
        <w:t xml:space="preserve"> </w:t>
      </w:r>
    </w:p>
    <w:p w14:paraId="50C83061" w14:textId="271FBAAF" w:rsidR="008C4307" w:rsidRDefault="001E38E0" w:rsidP="0037526E">
      <w:pPr>
        <w:pStyle w:val="LabSection"/>
      </w:pPr>
      <w:r>
        <w:t>Topology</w:t>
      </w:r>
    </w:p>
    <w:p w14:paraId="1CA1E64D" w14:textId="7EFA4E9B" w:rsidR="00EA645A" w:rsidRPr="00280673" w:rsidRDefault="00EA645A" w:rsidP="00BC5CFC">
      <w:pPr>
        <w:pStyle w:val="Visual"/>
      </w:pPr>
      <w:r w:rsidRPr="00EA645A">
        <w:rPr>
          <w:noProof/>
        </w:rPr>
        <w:drawing>
          <wp:inline distT="0" distB="0" distL="0" distR="0" wp14:anchorId="63A68293" wp14:editId="69B2A428">
            <wp:extent cx="5819775" cy="325630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4104" cy="325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4EA9B" w14:textId="77777777"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91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14"/>
        <w:gridCol w:w="1576"/>
        <w:gridCol w:w="2241"/>
        <w:gridCol w:w="2169"/>
        <w:gridCol w:w="1980"/>
      </w:tblGrid>
      <w:tr w:rsidR="0083050B" w14:paraId="36A0697B" w14:textId="77777777" w:rsidTr="00BC5CFC">
        <w:trPr>
          <w:cantSplit/>
          <w:jc w:val="center"/>
        </w:trPr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0D90F55" w14:textId="77777777" w:rsidR="0083050B" w:rsidRPr="00E87D62" w:rsidRDefault="0083050B" w:rsidP="00F00E4C">
            <w:pPr>
              <w:pStyle w:val="TableHeading"/>
            </w:pPr>
            <w:r w:rsidRPr="00E87D62">
              <w:t>Device</w:t>
            </w: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22DED3E" w14:textId="77777777" w:rsidR="0083050B" w:rsidRPr="00E87D62" w:rsidRDefault="0083050B" w:rsidP="00F00E4C">
            <w:pPr>
              <w:pStyle w:val="TableHeading"/>
            </w:pPr>
            <w:r w:rsidRPr="00E87D62">
              <w:t>Interface</w:t>
            </w:r>
          </w:p>
        </w:tc>
        <w:tc>
          <w:tcPr>
            <w:tcW w:w="2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6F35AA8" w14:textId="77777777" w:rsidR="0083050B" w:rsidRPr="00E87D62" w:rsidRDefault="0083050B" w:rsidP="00F00E4C">
            <w:pPr>
              <w:pStyle w:val="TableHeading"/>
            </w:pPr>
            <w:r w:rsidRPr="00E87D62">
              <w:t>IP Address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0E9D80B" w14:textId="77777777" w:rsidR="0083050B" w:rsidRPr="00E87D62" w:rsidRDefault="0083050B" w:rsidP="00F00E4C">
            <w:pPr>
              <w:pStyle w:val="TableHeading"/>
            </w:pPr>
            <w:r w:rsidRPr="00E87D62">
              <w:t>Subnet Mask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4611DEE2" w14:textId="77777777" w:rsidR="0083050B" w:rsidRPr="00E87D62" w:rsidRDefault="0083050B" w:rsidP="00F00E4C">
            <w:pPr>
              <w:pStyle w:val="TableHeading"/>
            </w:pPr>
            <w:r>
              <w:t>Default Gateway</w:t>
            </w:r>
          </w:p>
        </w:tc>
      </w:tr>
      <w:tr w:rsidR="00A37DA1" w14:paraId="56D43E33" w14:textId="77777777" w:rsidTr="00BC5CFC">
        <w:trPr>
          <w:cantSplit/>
          <w:jc w:val="center"/>
        </w:trPr>
        <w:tc>
          <w:tcPr>
            <w:tcW w:w="1214" w:type="dxa"/>
            <w:vMerge w:val="restart"/>
            <w:vAlign w:val="center"/>
          </w:tcPr>
          <w:p w14:paraId="6D97DD30" w14:textId="67B8801B" w:rsidR="00A37DA1" w:rsidRPr="00840FC2" w:rsidRDefault="00A37DA1" w:rsidP="00A37DA1">
            <w:pPr>
              <w:pStyle w:val="TableText"/>
            </w:pPr>
            <w:r>
              <w:t>R1</w:t>
            </w:r>
          </w:p>
        </w:tc>
        <w:tc>
          <w:tcPr>
            <w:tcW w:w="1576" w:type="dxa"/>
            <w:vAlign w:val="bottom"/>
          </w:tcPr>
          <w:p w14:paraId="760D74B8" w14:textId="1E6C4853" w:rsidR="00A37DA1" w:rsidRDefault="00A37DA1">
            <w:pPr>
              <w:pStyle w:val="TableText"/>
            </w:pPr>
            <w:r>
              <w:t>G0/0</w:t>
            </w:r>
          </w:p>
        </w:tc>
        <w:tc>
          <w:tcPr>
            <w:tcW w:w="2241" w:type="dxa"/>
            <w:vAlign w:val="bottom"/>
          </w:tcPr>
          <w:p w14:paraId="7D43A177" w14:textId="674BCFEB" w:rsidR="00A37DA1" w:rsidRDefault="00A37DA1" w:rsidP="00FC32E8">
            <w:pPr>
              <w:pStyle w:val="TableText"/>
            </w:pPr>
            <w:r>
              <w:t>192.168.1.1</w:t>
            </w:r>
          </w:p>
        </w:tc>
        <w:tc>
          <w:tcPr>
            <w:tcW w:w="2169" w:type="dxa"/>
            <w:vAlign w:val="bottom"/>
          </w:tcPr>
          <w:p w14:paraId="26963E5B" w14:textId="00422934" w:rsidR="00A37DA1" w:rsidRDefault="00A37DA1" w:rsidP="00FC32E8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Merge w:val="restart"/>
            <w:vAlign w:val="center"/>
          </w:tcPr>
          <w:p w14:paraId="6CE2E0BA" w14:textId="5B9E3F06" w:rsidR="00A37DA1" w:rsidRDefault="00A37DA1" w:rsidP="00A37DA1">
            <w:pPr>
              <w:pStyle w:val="TableText"/>
            </w:pPr>
            <w:r>
              <w:t>N/A</w:t>
            </w:r>
          </w:p>
        </w:tc>
      </w:tr>
      <w:tr w:rsidR="00A37DA1" w14:paraId="0D89FE67" w14:textId="77777777" w:rsidTr="00BC5CFC">
        <w:trPr>
          <w:cantSplit/>
          <w:jc w:val="center"/>
        </w:trPr>
        <w:tc>
          <w:tcPr>
            <w:tcW w:w="1214" w:type="dxa"/>
            <w:vMerge/>
            <w:vAlign w:val="bottom"/>
          </w:tcPr>
          <w:p w14:paraId="5ABB8FDE" w14:textId="77777777" w:rsidR="00A37DA1" w:rsidRDefault="00A37DA1" w:rsidP="00FC32E8">
            <w:pPr>
              <w:pStyle w:val="TableText"/>
            </w:pPr>
          </w:p>
        </w:tc>
        <w:tc>
          <w:tcPr>
            <w:tcW w:w="1576" w:type="dxa"/>
            <w:vAlign w:val="bottom"/>
          </w:tcPr>
          <w:p w14:paraId="688B2890" w14:textId="60E4BD18" w:rsidR="00A37DA1" w:rsidRDefault="00A37DA1">
            <w:pPr>
              <w:pStyle w:val="TableText"/>
            </w:pPr>
            <w:r>
              <w:t>G0/1</w:t>
            </w:r>
          </w:p>
        </w:tc>
        <w:tc>
          <w:tcPr>
            <w:tcW w:w="2241" w:type="dxa"/>
            <w:vAlign w:val="bottom"/>
          </w:tcPr>
          <w:p w14:paraId="3DA01240" w14:textId="43E5D533" w:rsidR="00A37DA1" w:rsidRDefault="00A37DA1" w:rsidP="00FC32E8">
            <w:pPr>
              <w:pStyle w:val="TableText"/>
            </w:pPr>
            <w:r>
              <w:t>192.168.2.1</w:t>
            </w:r>
          </w:p>
        </w:tc>
        <w:tc>
          <w:tcPr>
            <w:tcW w:w="2169" w:type="dxa"/>
            <w:vAlign w:val="bottom"/>
          </w:tcPr>
          <w:p w14:paraId="40E8F758" w14:textId="2115CC33" w:rsidR="00A37DA1" w:rsidRDefault="00A37DA1" w:rsidP="00FC32E8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Merge/>
            <w:vAlign w:val="center"/>
          </w:tcPr>
          <w:p w14:paraId="4465B97E" w14:textId="778B8598" w:rsidR="00A37DA1" w:rsidRDefault="00A37DA1">
            <w:pPr>
              <w:pStyle w:val="TableText"/>
            </w:pPr>
          </w:p>
        </w:tc>
      </w:tr>
      <w:tr w:rsidR="00A37DA1" w14:paraId="307622AF" w14:textId="77777777" w:rsidTr="00BC5CFC">
        <w:trPr>
          <w:cantSplit/>
          <w:jc w:val="center"/>
        </w:trPr>
        <w:tc>
          <w:tcPr>
            <w:tcW w:w="1214" w:type="dxa"/>
            <w:vMerge/>
            <w:vAlign w:val="bottom"/>
          </w:tcPr>
          <w:p w14:paraId="64B7306E" w14:textId="77777777" w:rsidR="00A37DA1" w:rsidRDefault="00A37DA1" w:rsidP="00FC32E8">
            <w:pPr>
              <w:pStyle w:val="TableText"/>
            </w:pPr>
          </w:p>
        </w:tc>
        <w:tc>
          <w:tcPr>
            <w:tcW w:w="1576" w:type="dxa"/>
            <w:vAlign w:val="bottom"/>
          </w:tcPr>
          <w:p w14:paraId="62C9D562" w14:textId="42371B7C" w:rsidR="00A37DA1" w:rsidRDefault="00A37DA1">
            <w:pPr>
              <w:pStyle w:val="TableText"/>
            </w:pPr>
            <w:r>
              <w:t>G0/2</w:t>
            </w:r>
          </w:p>
        </w:tc>
        <w:tc>
          <w:tcPr>
            <w:tcW w:w="2241" w:type="dxa"/>
            <w:vAlign w:val="bottom"/>
          </w:tcPr>
          <w:p w14:paraId="740C003E" w14:textId="36A82EF6" w:rsidR="00A37DA1" w:rsidRDefault="00A37DA1" w:rsidP="00FC32E8">
            <w:pPr>
              <w:pStyle w:val="TableText"/>
            </w:pPr>
            <w:r>
              <w:t>192.168.250.1</w:t>
            </w:r>
          </w:p>
        </w:tc>
        <w:tc>
          <w:tcPr>
            <w:tcW w:w="2169" w:type="dxa"/>
            <w:vAlign w:val="bottom"/>
          </w:tcPr>
          <w:p w14:paraId="0B723D18" w14:textId="415E16D3" w:rsidR="00A37DA1" w:rsidRDefault="00A37DA1" w:rsidP="00FC32E8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Merge/>
            <w:vAlign w:val="center"/>
          </w:tcPr>
          <w:p w14:paraId="389E6ADB" w14:textId="4A9C8749" w:rsidR="00A37DA1" w:rsidRDefault="00A37DA1">
            <w:pPr>
              <w:pStyle w:val="TableText"/>
            </w:pPr>
          </w:p>
        </w:tc>
      </w:tr>
      <w:tr w:rsidR="00A37DA1" w14:paraId="469750BC" w14:textId="77777777" w:rsidTr="00BC5CFC">
        <w:trPr>
          <w:cantSplit/>
          <w:jc w:val="center"/>
        </w:trPr>
        <w:tc>
          <w:tcPr>
            <w:tcW w:w="1214" w:type="dxa"/>
            <w:vMerge w:val="restart"/>
            <w:vAlign w:val="center"/>
          </w:tcPr>
          <w:p w14:paraId="2CF4EBBD" w14:textId="7F7B95CD" w:rsidR="00A37DA1" w:rsidRDefault="00A37DA1">
            <w:pPr>
              <w:pStyle w:val="TableText"/>
            </w:pPr>
            <w:r>
              <w:t>R2</w:t>
            </w:r>
          </w:p>
        </w:tc>
        <w:tc>
          <w:tcPr>
            <w:tcW w:w="1576" w:type="dxa"/>
            <w:vAlign w:val="bottom"/>
          </w:tcPr>
          <w:p w14:paraId="4B048C9F" w14:textId="57262EC0" w:rsidR="00A37DA1" w:rsidRDefault="00A37DA1">
            <w:pPr>
              <w:pStyle w:val="TableText"/>
            </w:pPr>
            <w:r>
              <w:t>G0/0</w:t>
            </w:r>
          </w:p>
        </w:tc>
        <w:tc>
          <w:tcPr>
            <w:tcW w:w="2241" w:type="dxa"/>
            <w:vAlign w:val="bottom"/>
          </w:tcPr>
          <w:p w14:paraId="08939D3C" w14:textId="251E329D" w:rsidR="00A37DA1" w:rsidRDefault="00A37DA1" w:rsidP="009354B6">
            <w:pPr>
              <w:pStyle w:val="TableText"/>
            </w:pPr>
            <w:r>
              <w:t>172.16.1.1</w:t>
            </w:r>
          </w:p>
        </w:tc>
        <w:tc>
          <w:tcPr>
            <w:tcW w:w="2169" w:type="dxa"/>
            <w:vAlign w:val="bottom"/>
          </w:tcPr>
          <w:p w14:paraId="2203C8BC" w14:textId="620487FF" w:rsidR="00A37DA1" w:rsidRDefault="00A37DA1" w:rsidP="009354B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Merge w:val="restart"/>
            <w:vAlign w:val="center"/>
          </w:tcPr>
          <w:p w14:paraId="0638A825" w14:textId="646C195B" w:rsidR="00A37DA1" w:rsidRDefault="00A37DA1">
            <w:pPr>
              <w:pStyle w:val="TableText"/>
            </w:pPr>
            <w:r>
              <w:t>N/A</w:t>
            </w:r>
          </w:p>
        </w:tc>
      </w:tr>
      <w:tr w:rsidR="00A37DA1" w14:paraId="7FA321D2" w14:textId="77777777" w:rsidTr="00BC5CFC">
        <w:trPr>
          <w:cantSplit/>
          <w:jc w:val="center"/>
        </w:trPr>
        <w:tc>
          <w:tcPr>
            <w:tcW w:w="1214" w:type="dxa"/>
            <w:vMerge/>
            <w:vAlign w:val="center"/>
          </w:tcPr>
          <w:p w14:paraId="26E0F259" w14:textId="77777777" w:rsidR="00A37DA1" w:rsidRDefault="00A37DA1">
            <w:pPr>
              <w:pStyle w:val="TableText"/>
            </w:pPr>
          </w:p>
        </w:tc>
        <w:tc>
          <w:tcPr>
            <w:tcW w:w="1576" w:type="dxa"/>
            <w:vAlign w:val="bottom"/>
          </w:tcPr>
          <w:p w14:paraId="1EBDF6E2" w14:textId="22159319" w:rsidR="00A37DA1" w:rsidRDefault="00A37DA1">
            <w:pPr>
              <w:pStyle w:val="TableText"/>
            </w:pPr>
            <w:r>
              <w:t>G0/1</w:t>
            </w:r>
          </w:p>
        </w:tc>
        <w:tc>
          <w:tcPr>
            <w:tcW w:w="2241" w:type="dxa"/>
            <w:vAlign w:val="bottom"/>
          </w:tcPr>
          <w:p w14:paraId="78B4F891" w14:textId="4B9D021F" w:rsidR="00A37DA1" w:rsidRDefault="00A37DA1" w:rsidP="009354B6">
            <w:pPr>
              <w:pStyle w:val="TableText"/>
            </w:pPr>
            <w:r>
              <w:t>172.16.2.1</w:t>
            </w:r>
          </w:p>
        </w:tc>
        <w:tc>
          <w:tcPr>
            <w:tcW w:w="2169" w:type="dxa"/>
            <w:vAlign w:val="bottom"/>
          </w:tcPr>
          <w:p w14:paraId="51B0C2EB" w14:textId="76D7D63A" w:rsidR="00A37DA1" w:rsidRDefault="00A37DA1" w:rsidP="009354B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Merge/>
            <w:vAlign w:val="center"/>
          </w:tcPr>
          <w:p w14:paraId="05328EF6" w14:textId="3F6EBE1C" w:rsidR="00A37DA1" w:rsidRDefault="00A37DA1">
            <w:pPr>
              <w:pStyle w:val="TableText"/>
            </w:pPr>
          </w:p>
        </w:tc>
      </w:tr>
      <w:tr w:rsidR="00A37DA1" w14:paraId="4392BCCA" w14:textId="77777777" w:rsidTr="00BC5CFC">
        <w:trPr>
          <w:cantSplit/>
          <w:jc w:val="center"/>
        </w:trPr>
        <w:tc>
          <w:tcPr>
            <w:tcW w:w="1214" w:type="dxa"/>
            <w:vMerge/>
            <w:vAlign w:val="center"/>
          </w:tcPr>
          <w:p w14:paraId="50BBE05C" w14:textId="77777777" w:rsidR="00A37DA1" w:rsidRDefault="00A37DA1">
            <w:pPr>
              <w:pStyle w:val="TableText"/>
            </w:pPr>
          </w:p>
        </w:tc>
        <w:tc>
          <w:tcPr>
            <w:tcW w:w="1576" w:type="dxa"/>
            <w:vAlign w:val="bottom"/>
          </w:tcPr>
          <w:p w14:paraId="529B062F" w14:textId="30B8F429" w:rsidR="00A37DA1" w:rsidRDefault="00A37DA1">
            <w:pPr>
              <w:pStyle w:val="TableText"/>
            </w:pPr>
            <w:r>
              <w:t>G0/2</w:t>
            </w:r>
          </w:p>
        </w:tc>
        <w:tc>
          <w:tcPr>
            <w:tcW w:w="2241" w:type="dxa"/>
            <w:vAlign w:val="bottom"/>
          </w:tcPr>
          <w:p w14:paraId="20490DF8" w14:textId="1F8B47EE" w:rsidR="00A37DA1" w:rsidRDefault="00A37DA1" w:rsidP="009354B6">
            <w:pPr>
              <w:pStyle w:val="TableText"/>
            </w:pPr>
            <w:r>
              <w:t>192.168.250.2</w:t>
            </w:r>
          </w:p>
        </w:tc>
        <w:tc>
          <w:tcPr>
            <w:tcW w:w="2169" w:type="dxa"/>
            <w:vAlign w:val="bottom"/>
          </w:tcPr>
          <w:p w14:paraId="2DA9B537" w14:textId="51427737" w:rsidR="00A37DA1" w:rsidRDefault="00A37DA1" w:rsidP="009354B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Merge/>
            <w:vAlign w:val="center"/>
          </w:tcPr>
          <w:p w14:paraId="6299DBD1" w14:textId="3A8EA9B4" w:rsidR="00A37DA1" w:rsidRDefault="00A37DA1">
            <w:pPr>
              <w:pStyle w:val="TableText"/>
            </w:pPr>
          </w:p>
        </w:tc>
      </w:tr>
      <w:tr w:rsidR="008E2F74" w14:paraId="2A842574" w14:textId="77777777" w:rsidTr="00BC5CFC">
        <w:trPr>
          <w:cantSplit/>
          <w:jc w:val="center"/>
        </w:trPr>
        <w:tc>
          <w:tcPr>
            <w:tcW w:w="1214" w:type="dxa"/>
            <w:vAlign w:val="bottom"/>
          </w:tcPr>
          <w:p w14:paraId="2192A305" w14:textId="3E3EA3DB" w:rsidR="008E2F74" w:rsidRDefault="009354B6" w:rsidP="002B0C56">
            <w:pPr>
              <w:pStyle w:val="TableText"/>
            </w:pPr>
            <w:r>
              <w:t>PC-A</w:t>
            </w:r>
          </w:p>
        </w:tc>
        <w:tc>
          <w:tcPr>
            <w:tcW w:w="1576" w:type="dxa"/>
            <w:vAlign w:val="bottom"/>
          </w:tcPr>
          <w:p w14:paraId="1184A9FF" w14:textId="17EBC857" w:rsidR="008E2F74" w:rsidRDefault="00A37DA1">
            <w:pPr>
              <w:pStyle w:val="TableText"/>
            </w:pPr>
            <w:r>
              <w:t>NIC</w:t>
            </w:r>
          </w:p>
        </w:tc>
        <w:tc>
          <w:tcPr>
            <w:tcW w:w="2241" w:type="dxa"/>
            <w:vAlign w:val="bottom"/>
          </w:tcPr>
          <w:p w14:paraId="297A5170" w14:textId="186491EB" w:rsidR="008E2F74" w:rsidRDefault="00397140" w:rsidP="002B0C56">
            <w:pPr>
              <w:pStyle w:val="TableText"/>
            </w:pPr>
            <w:r>
              <w:t>192.168.1.100</w:t>
            </w:r>
          </w:p>
        </w:tc>
        <w:tc>
          <w:tcPr>
            <w:tcW w:w="2169" w:type="dxa"/>
            <w:vAlign w:val="bottom"/>
          </w:tcPr>
          <w:p w14:paraId="5492F932" w14:textId="6896F0EC" w:rsidR="008E2F74" w:rsidRDefault="008E2F74" w:rsidP="002B0C5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</w:tcPr>
          <w:p w14:paraId="256EE642" w14:textId="22866DF8" w:rsidR="008E2F74" w:rsidRDefault="00397140" w:rsidP="002B0C56">
            <w:pPr>
              <w:pStyle w:val="TableText"/>
            </w:pPr>
            <w:r>
              <w:t>192.168.1.1</w:t>
            </w:r>
          </w:p>
        </w:tc>
      </w:tr>
      <w:tr w:rsidR="008E2F74" w14:paraId="61F30301" w14:textId="77777777" w:rsidTr="00BC5CFC">
        <w:trPr>
          <w:cantSplit/>
          <w:jc w:val="center"/>
        </w:trPr>
        <w:tc>
          <w:tcPr>
            <w:tcW w:w="1214" w:type="dxa"/>
            <w:vAlign w:val="bottom"/>
          </w:tcPr>
          <w:p w14:paraId="166CF094" w14:textId="0420D344" w:rsidR="008E2F74" w:rsidRDefault="009354B6" w:rsidP="002B0C56">
            <w:pPr>
              <w:pStyle w:val="TableText"/>
            </w:pPr>
            <w:r>
              <w:t>PC-B</w:t>
            </w:r>
          </w:p>
        </w:tc>
        <w:tc>
          <w:tcPr>
            <w:tcW w:w="1576" w:type="dxa"/>
            <w:vAlign w:val="bottom"/>
          </w:tcPr>
          <w:p w14:paraId="6C560BEB" w14:textId="59311D70" w:rsidR="008E2F74" w:rsidRDefault="00A37DA1">
            <w:pPr>
              <w:pStyle w:val="TableText"/>
            </w:pPr>
            <w:r>
              <w:t>NIC</w:t>
            </w:r>
          </w:p>
        </w:tc>
        <w:tc>
          <w:tcPr>
            <w:tcW w:w="2241" w:type="dxa"/>
            <w:vAlign w:val="bottom"/>
          </w:tcPr>
          <w:p w14:paraId="3C143261" w14:textId="6A3E927A" w:rsidR="008E2F74" w:rsidRDefault="00397140" w:rsidP="002B0C56">
            <w:pPr>
              <w:pStyle w:val="TableText"/>
            </w:pPr>
            <w:r>
              <w:t>192.168.1</w:t>
            </w:r>
            <w:r w:rsidR="008E2F74">
              <w:t>.1</w:t>
            </w:r>
            <w:r>
              <w:t>50</w:t>
            </w:r>
          </w:p>
        </w:tc>
        <w:tc>
          <w:tcPr>
            <w:tcW w:w="2169" w:type="dxa"/>
            <w:vAlign w:val="bottom"/>
          </w:tcPr>
          <w:p w14:paraId="6DDD7E64" w14:textId="3DA38A43" w:rsidR="008E2F74" w:rsidRDefault="008E2F74" w:rsidP="002B0C5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</w:tcPr>
          <w:p w14:paraId="6546A349" w14:textId="1376A9A8" w:rsidR="008E2F74" w:rsidRDefault="00397140" w:rsidP="002B0C56">
            <w:pPr>
              <w:pStyle w:val="TableText"/>
            </w:pPr>
            <w:r>
              <w:t>192.168.1.1</w:t>
            </w:r>
          </w:p>
        </w:tc>
      </w:tr>
      <w:tr w:rsidR="008E2F74" w14:paraId="586B3C80" w14:textId="77777777" w:rsidTr="00BC5CFC">
        <w:trPr>
          <w:cantSplit/>
          <w:jc w:val="center"/>
        </w:trPr>
        <w:tc>
          <w:tcPr>
            <w:tcW w:w="1214" w:type="dxa"/>
            <w:vAlign w:val="bottom"/>
          </w:tcPr>
          <w:p w14:paraId="72FE42E7" w14:textId="3F560F0C" w:rsidR="008E2F74" w:rsidRDefault="009354B6" w:rsidP="002B0C56">
            <w:pPr>
              <w:pStyle w:val="TableText"/>
            </w:pPr>
            <w:r>
              <w:t>PC-C</w:t>
            </w:r>
          </w:p>
        </w:tc>
        <w:tc>
          <w:tcPr>
            <w:tcW w:w="1576" w:type="dxa"/>
            <w:vAlign w:val="bottom"/>
          </w:tcPr>
          <w:p w14:paraId="1F598E3B" w14:textId="4C432A2D" w:rsidR="008E2F74" w:rsidRDefault="00A37DA1">
            <w:pPr>
              <w:pStyle w:val="TableText"/>
            </w:pPr>
            <w:r>
              <w:t>NIC</w:t>
            </w:r>
          </w:p>
        </w:tc>
        <w:tc>
          <w:tcPr>
            <w:tcW w:w="2241" w:type="dxa"/>
            <w:vAlign w:val="bottom"/>
          </w:tcPr>
          <w:p w14:paraId="49B24014" w14:textId="42889AE4" w:rsidR="008E2F74" w:rsidRDefault="002D7587" w:rsidP="002B0C56">
            <w:pPr>
              <w:pStyle w:val="TableText"/>
            </w:pPr>
            <w:r>
              <w:t>19</w:t>
            </w:r>
            <w:r w:rsidR="008E2F74">
              <w:t>2.16</w:t>
            </w:r>
            <w:r>
              <w:t>8.2</w:t>
            </w:r>
            <w:r w:rsidR="00023297">
              <w:t>.50</w:t>
            </w:r>
          </w:p>
        </w:tc>
        <w:tc>
          <w:tcPr>
            <w:tcW w:w="2169" w:type="dxa"/>
            <w:vAlign w:val="bottom"/>
          </w:tcPr>
          <w:p w14:paraId="56512684" w14:textId="163C63F1" w:rsidR="008E2F74" w:rsidRDefault="00397140" w:rsidP="002B0C5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</w:tcPr>
          <w:p w14:paraId="023F7B56" w14:textId="2900B6AD" w:rsidR="008E2F74" w:rsidRDefault="00397140" w:rsidP="002B0C56">
            <w:pPr>
              <w:pStyle w:val="TableText"/>
            </w:pPr>
            <w:r>
              <w:t>192.168.2.1</w:t>
            </w:r>
          </w:p>
        </w:tc>
      </w:tr>
      <w:tr w:rsidR="008E2F74" w14:paraId="31074570" w14:textId="77777777" w:rsidTr="00BC5CFC">
        <w:trPr>
          <w:cantSplit/>
          <w:jc w:val="center"/>
        </w:trPr>
        <w:tc>
          <w:tcPr>
            <w:tcW w:w="1214" w:type="dxa"/>
            <w:vAlign w:val="bottom"/>
          </w:tcPr>
          <w:p w14:paraId="1C392E2B" w14:textId="638C0EB5" w:rsidR="008E2F74" w:rsidRDefault="009354B6" w:rsidP="002B0C56">
            <w:pPr>
              <w:pStyle w:val="TableText"/>
            </w:pPr>
            <w:r>
              <w:t>PC-D</w:t>
            </w:r>
          </w:p>
        </w:tc>
        <w:tc>
          <w:tcPr>
            <w:tcW w:w="1576" w:type="dxa"/>
            <w:vAlign w:val="bottom"/>
          </w:tcPr>
          <w:p w14:paraId="58ACD64D" w14:textId="47B5EE0B" w:rsidR="008E2F74" w:rsidRDefault="00A37DA1">
            <w:pPr>
              <w:pStyle w:val="TableText"/>
            </w:pPr>
            <w:r>
              <w:t>NIC</w:t>
            </w:r>
          </w:p>
        </w:tc>
        <w:tc>
          <w:tcPr>
            <w:tcW w:w="2241" w:type="dxa"/>
            <w:vAlign w:val="bottom"/>
          </w:tcPr>
          <w:p w14:paraId="79A62807" w14:textId="754F7290" w:rsidR="008E2F74" w:rsidRDefault="002D7587" w:rsidP="002B0C56">
            <w:pPr>
              <w:pStyle w:val="TableText"/>
            </w:pPr>
            <w:r>
              <w:t>192.168.2</w:t>
            </w:r>
            <w:r w:rsidR="00023297">
              <w:t>.112</w:t>
            </w:r>
          </w:p>
        </w:tc>
        <w:tc>
          <w:tcPr>
            <w:tcW w:w="2169" w:type="dxa"/>
            <w:vAlign w:val="bottom"/>
          </w:tcPr>
          <w:p w14:paraId="765A8F7F" w14:textId="221FA86A" w:rsidR="008E2F74" w:rsidRDefault="00397140" w:rsidP="002B0C5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</w:tcPr>
          <w:p w14:paraId="0B3FFE31" w14:textId="3B68A74B" w:rsidR="008E2F74" w:rsidRDefault="00397140" w:rsidP="002B0C56">
            <w:pPr>
              <w:pStyle w:val="TableText"/>
            </w:pPr>
            <w:r>
              <w:t>192.168.2.1</w:t>
            </w:r>
          </w:p>
        </w:tc>
      </w:tr>
      <w:tr w:rsidR="008E2F74" w14:paraId="2E1E7F6E" w14:textId="77777777" w:rsidTr="00BC5CFC">
        <w:trPr>
          <w:cantSplit/>
          <w:jc w:val="center"/>
        </w:trPr>
        <w:tc>
          <w:tcPr>
            <w:tcW w:w="1214" w:type="dxa"/>
            <w:vAlign w:val="bottom"/>
          </w:tcPr>
          <w:p w14:paraId="39DA6CC9" w14:textId="6AFA1439" w:rsidR="008E2F74" w:rsidRDefault="009354B6" w:rsidP="002B0C56">
            <w:pPr>
              <w:pStyle w:val="TableText"/>
            </w:pPr>
            <w:r>
              <w:t>PC-E</w:t>
            </w:r>
          </w:p>
        </w:tc>
        <w:tc>
          <w:tcPr>
            <w:tcW w:w="1576" w:type="dxa"/>
            <w:vAlign w:val="bottom"/>
          </w:tcPr>
          <w:p w14:paraId="0B8C2234" w14:textId="2979F2D7" w:rsidR="008E2F74" w:rsidRDefault="00A37DA1">
            <w:pPr>
              <w:pStyle w:val="TableText"/>
            </w:pPr>
            <w:r>
              <w:t>NIC</w:t>
            </w:r>
          </w:p>
        </w:tc>
        <w:tc>
          <w:tcPr>
            <w:tcW w:w="2241" w:type="dxa"/>
            <w:vAlign w:val="bottom"/>
          </w:tcPr>
          <w:p w14:paraId="1A08EDCC" w14:textId="678972D7" w:rsidR="008E2F74" w:rsidRDefault="00023297" w:rsidP="002B0C56">
            <w:pPr>
              <w:pStyle w:val="TableText"/>
            </w:pPr>
            <w:r>
              <w:t>172.16.1.10</w:t>
            </w:r>
          </w:p>
        </w:tc>
        <w:tc>
          <w:tcPr>
            <w:tcW w:w="2169" w:type="dxa"/>
            <w:vAlign w:val="bottom"/>
          </w:tcPr>
          <w:p w14:paraId="63977AD5" w14:textId="3944484A" w:rsidR="008E2F74" w:rsidRDefault="00397140" w:rsidP="002B0C5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</w:tcPr>
          <w:p w14:paraId="45502168" w14:textId="2B8B8629" w:rsidR="008E2F74" w:rsidRDefault="00397140" w:rsidP="002B0C56">
            <w:pPr>
              <w:pStyle w:val="TableText"/>
            </w:pPr>
            <w:r>
              <w:t>172.16.1.1</w:t>
            </w:r>
          </w:p>
        </w:tc>
      </w:tr>
      <w:tr w:rsidR="008E2F74" w14:paraId="34DE72DF" w14:textId="77777777" w:rsidTr="00BC5CFC">
        <w:trPr>
          <w:cantSplit/>
          <w:jc w:val="center"/>
        </w:trPr>
        <w:tc>
          <w:tcPr>
            <w:tcW w:w="1214" w:type="dxa"/>
            <w:vAlign w:val="bottom"/>
          </w:tcPr>
          <w:p w14:paraId="1F744A80" w14:textId="16E6B536" w:rsidR="008E2F74" w:rsidRDefault="009354B6" w:rsidP="002B0C56">
            <w:pPr>
              <w:pStyle w:val="TableText"/>
            </w:pPr>
            <w:r>
              <w:t>PC-F</w:t>
            </w:r>
          </w:p>
        </w:tc>
        <w:tc>
          <w:tcPr>
            <w:tcW w:w="1576" w:type="dxa"/>
            <w:vAlign w:val="bottom"/>
          </w:tcPr>
          <w:p w14:paraId="4B5AD43C" w14:textId="4665E996" w:rsidR="008E2F74" w:rsidRDefault="00A37DA1">
            <w:pPr>
              <w:pStyle w:val="TableText"/>
            </w:pPr>
            <w:r>
              <w:t>NIC</w:t>
            </w:r>
          </w:p>
        </w:tc>
        <w:tc>
          <w:tcPr>
            <w:tcW w:w="2241" w:type="dxa"/>
            <w:vAlign w:val="bottom"/>
          </w:tcPr>
          <w:p w14:paraId="768CE36D" w14:textId="7D8F600E" w:rsidR="008E2F74" w:rsidRDefault="00023297" w:rsidP="002B0C56">
            <w:pPr>
              <w:pStyle w:val="TableText"/>
            </w:pPr>
            <w:r>
              <w:t>172.16.1.20</w:t>
            </w:r>
          </w:p>
        </w:tc>
        <w:tc>
          <w:tcPr>
            <w:tcW w:w="2169" w:type="dxa"/>
            <w:vAlign w:val="bottom"/>
          </w:tcPr>
          <w:p w14:paraId="15FDC071" w14:textId="195BD614" w:rsidR="008E2F74" w:rsidRDefault="00397140" w:rsidP="002B0C56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</w:tcPr>
          <w:p w14:paraId="42CC5B7C" w14:textId="4FE79F4E" w:rsidR="008E2F74" w:rsidRDefault="00397140" w:rsidP="002B0C56">
            <w:pPr>
              <w:pStyle w:val="TableText"/>
            </w:pPr>
            <w:r>
              <w:t>172.16.</w:t>
            </w:r>
            <w:r w:rsidR="002D7587">
              <w:t>1</w:t>
            </w:r>
            <w:r>
              <w:t>.1</w:t>
            </w:r>
          </w:p>
        </w:tc>
      </w:tr>
      <w:tr w:rsidR="002D7587" w14:paraId="13DE74FA" w14:textId="77777777" w:rsidTr="00BC5CFC">
        <w:trPr>
          <w:cantSplit/>
          <w:jc w:val="center"/>
        </w:trPr>
        <w:tc>
          <w:tcPr>
            <w:tcW w:w="1214" w:type="dxa"/>
            <w:vAlign w:val="bottom"/>
          </w:tcPr>
          <w:p w14:paraId="310266DC" w14:textId="3F43C7FD" w:rsidR="002D7587" w:rsidRDefault="002D7587" w:rsidP="002D7587">
            <w:pPr>
              <w:pStyle w:val="TableText"/>
            </w:pPr>
            <w:r>
              <w:t>PC-G</w:t>
            </w:r>
          </w:p>
        </w:tc>
        <w:tc>
          <w:tcPr>
            <w:tcW w:w="1576" w:type="dxa"/>
            <w:vAlign w:val="bottom"/>
          </w:tcPr>
          <w:p w14:paraId="4430CB75" w14:textId="4EBF0445" w:rsidR="002D7587" w:rsidRDefault="00A37DA1">
            <w:pPr>
              <w:pStyle w:val="TableText"/>
            </w:pPr>
            <w:r>
              <w:t>NIC</w:t>
            </w:r>
          </w:p>
        </w:tc>
        <w:tc>
          <w:tcPr>
            <w:tcW w:w="2241" w:type="dxa"/>
            <w:vAlign w:val="bottom"/>
          </w:tcPr>
          <w:p w14:paraId="1EFA1090" w14:textId="3141E2A3" w:rsidR="002D7587" w:rsidRDefault="002D7587" w:rsidP="002D7587">
            <w:pPr>
              <w:pStyle w:val="TableText"/>
            </w:pPr>
            <w:r>
              <w:t>172.16.2</w:t>
            </w:r>
            <w:r w:rsidR="0037526E">
              <w:t>.100</w:t>
            </w:r>
          </w:p>
        </w:tc>
        <w:tc>
          <w:tcPr>
            <w:tcW w:w="2169" w:type="dxa"/>
            <w:vAlign w:val="bottom"/>
          </w:tcPr>
          <w:p w14:paraId="7A5A1B9B" w14:textId="1F8BCCF8" w:rsidR="002D7587" w:rsidRDefault="002D7587" w:rsidP="002D7587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</w:tcPr>
          <w:p w14:paraId="6DE20B75" w14:textId="750C10C7" w:rsidR="002D7587" w:rsidRDefault="002D7587" w:rsidP="002D7587">
            <w:pPr>
              <w:pStyle w:val="TableText"/>
            </w:pPr>
            <w:r>
              <w:t>172.16.2.1</w:t>
            </w:r>
          </w:p>
        </w:tc>
      </w:tr>
      <w:tr w:rsidR="002D7587" w14:paraId="6AE8FF33" w14:textId="77777777" w:rsidTr="00BC5CFC">
        <w:trPr>
          <w:cantSplit/>
          <w:jc w:val="center"/>
        </w:trPr>
        <w:tc>
          <w:tcPr>
            <w:tcW w:w="1214" w:type="dxa"/>
            <w:vAlign w:val="bottom"/>
          </w:tcPr>
          <w:p w14:paraId="3DFCF537" w14:textId="361E9CDE" w:rsidR="002D7587" w:rsidRDefault="002D7587" w:rsidP="00BC5CFC">
            <w:pPr>
              <w:pStyle w:val="TableText"/>
              <w:keepNext w:val="0"/>
            </w:pPr>
            <w:r>
              <w:t>PC-H</w:t>
            </w:r>
          </w:p>
        </w:tc>
        <w:tc>
          <w:tcPr>
            <w:tcW w:w="1576" w:type="dxa"/>
            <w:vAlign w:val="bottom"/>
          </w:tcPr>
          <w:p w14:paraId="2C580BA2" w14:textId="1113B0AC" w:rsidR="002D7587" w:rsidRDefault="00A37DA1">
            <w:pPr>
              <w:pStyle w:val="TableText"/>
            </w:pPr>
            <w:r>
              <w:t>NIC</w:t>
            </w:r>
          </w:p>
        </w:tc>
        <w:tc>
          <w:tcPr>
            <w:tcW w:w="2241" w:type="dxa"/>
            <w:vAlign w:val="bottom"/>
          </w:tcPr>
          <w:p w14:paraId="48C318B9" w14:textId="6CAFDF2A" w:rsidR="002D7587" w:rsidRDefault="002D7587" w:rsidP="002D7587">
            <w:pPr>
              <w:pStyle w:val="TableText"/>
            </w:pPr>
            <w:r>
              <w:t>172.16.2</w:t>
            </w:r>
            <w:r w:rsidR="0037526E">
              <w:t>.200</w:t>
            </w:r>
          </w:p>
        </w:tc>
        <w:tc>
          <w:tcPr>
            <w:tcW w:w="2169" w:type="dxa"/>
            <w:vAlign w:val="bottom"/>
          </w:tcPr>
          <w:p w14:paraId="7F9846FF" w14:textId="76979C09" w:rsidR="002D7587" w:rsidRDefault="002D7587" w:rsidP="002D7587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</w:tcPr>
          <w:p w14:paraId="0FE8A405" w14:textId="3149F37E" w:rsidR="002D7587" w:rsidRDefault="002D7587" w:rsidP="002D7587">
            <w:pPr>
              <w:pStyle w:val="TableText"/>
            </w:pPr>
            <w:r>
              <w:t>172.16.2.1</w:t>
            </w:r>
          </w:p>
        </w:tc>
      </w:tr>
    </w:tbl>
    <w:p w14:paraId="0D5069FB" w14:textId="77777777" w:rsidR="009D2C27" w:rsidRPr="00BB73FF" w:rsidRDefault="009D2C27" w:rsidP="0014219C">
      <w:pPr>
        <w:pStyle w:val="LabSection"/>
      </w:pPr>
      <w:r w:rsidRPr="00BB73FF">
        <w:lastRenderedPageBreak/>
        <w:t>Objective</w:t>
      </w:r>
      <w:r w:rsidR="006E6581">
        <w:t>s</w:t>
      </w:r>
    </w:p>
    <w:p w14:paraId="60FE7B6D" w14:textId="658E5CA9" w:rsidR="00840FC2" w:rsidRDefault="00F81933" w:rsidP="00840FC2">
      <w:pPr>
        <w:pStyle w:val="BodyTextL25Bold"/>
      </w:pPr>
      <w:r>
        <w:t>Restrict traffic on the</w:t>
      </w:r>
      <w:r w:rsidR="005D1EE2">
        <w:t xml:space="preserve"> n</w:t>
      </w:r>
      <w:r w:rsidR="00D505CB">
        <w:t>etwork</w:t>
      </w:r>
      <w:r w:rsidR="0037526E">
        <w:t xml:space="preserve"> by configuring standard IPv4 ACLs</w:t>
      </w:r>
      <w:r w:rsidR="00C513AF">
        <w:t>.</w:t>
      </w:r>
    </w:p>
    <w:p w14:paraId="1DD1FC1C" w14:textId="77777777" w:rsidR="00C07FD9" w:rsidRPr="00C07FD9" w:rsidRDefault="009D2C27" w:rsidP="00840FC2">
      <w:pPr>
        <w:pStyle w:val="LabSection"/>
      </w:pPr>
      <w:r>
        <w:t xml:space="preserve">Background </w:t>
      </w:r>
      <w:r w:rsidR="00672919">
        <w:t>/ Scenario</w:t>
      </w:r>
    </w:p>
    <w:p w14:paraId="178F7BD4" w14:textId="5569E3F7" w:rsidR="000814E3" w:rsidRDefault="0037526E" w:rsidP="00F81933">
      <w:pPr>
        <w:pStyle w:val="BodyTextL25"/>
        <w:rPr>
          <w:rFonts w:eastAsia="Arial"/>
        </w:rPr>
      </w:pPr>
      <w:r>
        <w:rPr>
          <w:rFonts w:eastAsia="Arial"/>
        </w:rPr>
        <w:t xml:space="preserve">An </w:t>
      </w:r>
      <w:r w:rsidR="008A275F">
        <w:rPr>
          <w:rFonts w:eastAsia="Arial"/>
        </w:rPr>
        <w:t>organizatio</w:t>
      </w:r>
      <w:r>
        <w:rPr>
          <w:rFonts w:eastAsia="Arial"/>
        </w:rPr>
        <w:t>n has recently decided to restrict</w:t>
      </w:r>
      <w:r w:rsidR="00F665D4">
        <w:rPr>
          <w:rFonts w:eastAsia="Arial"/>
        </w:rPr>
        <w:t xml:space="preserve"> traffic using standard IPv4 ACLs</w:t>
      </w:r>
      <w:r>
        <w:rPr>
          <w:rFonts w:eastAsia="Arial"/>
        </w:rPr>
        <w:t>.</w:t>
      </w:r>
      <w:r w:rsidR="00F81933">
        <w:rPr>
          <w:rFonts w:eastAsia="Arial"/>
        </w:rPr>
        <w:t xml:space="preserve"> As the network administrator</w:t>
      </w:r>
      <w:r w:rsidR="00A34ABF">
        <w:rPr>
          <w:rFonts w:eastAsia="Arial"/>
        </w:rPr>
        <w:t>,</w:t>
      </w:r>
      <w:r w:rsidR="00F81933">
        <w:rPr>
          <w:rFonts w:eastAsia="Arial"/>
        </w:rPr>
        <w:t xml:space="preserve"> it is your job to configure two standard IPv4 ACLs to restrict traffic to the P</w:t>
      </w:r>
      <w:r w:rsidR="000252A3">
        <w:rPr>
          <w:rFonts w:eastAsia="Arial"/>
        </w:rPr>
        <w:t>ink LAN and the Blue LAN</w:t>
      </w:r>
      <w:r w:rsidR="00F81933">
        <w:rPr>
          <w:rFonts w:eastAsia="Arial"/>
        </w:rPr>
        <w:t xml:space="preserve"> (see PT Topology Diagram)</w:t>
      </w:r>
      <w:r w:rsidR="00A34ABF">
        <w:rPr>
          <w:rFonts w:eastAsia="Arial"/>
        </w:rPr>
        <w:t xml:space="preserve">. You must also configure </w:t>
      </w:r>
      <w:r w:rsidR="00F81933">
        <w:rPr>
          <w:rFonts w:eastAsia="Arial"/>
        </w:rPr>
        <w:t xml:space="preserve">a named standard IPv4 ACL to restrict </w:t>
      </w:r>
      <w:r w:rsidR="000814E3">
        <w:rPr>
          <w:rFonts w:eastAsia="Arial"/>
        </w:rPr>
        <w:t xml:space="preserve">remote </w:t>
      </w:r>
      <w:r w:rsidR="00F81933">
        <w:rPr>
          <w:rFonts w:eastAsia="Arial"/>
        </w:rPr>
        <w:t>access to router R1.</w:t>
      </w:r>
      <w:r w:rsidR="000814E3">
        <w:rPr>
          <w:rFonts w:eastAsia="Arial"/>
        </w:rPr>
        <w:t xml:space="preserve"> Router interfaces and default/static routes have already been configured. Remote SSH access has also been enabled on the routers. You will need the following access information for </w:t>
      </w:r>
      <w:r w:rsidR="00D534B9">
        <w:rPr>
          <w:rFonts w:eastAsia="Arial"/>
        </w:rPr>
        <w:t>console</w:t>
      </w:r>
      <w:r w:rsidR="000814E3">
        <w:rPr>
          <w:rFonts w:eastAsia="Arial"/>
        </w:rPr>
        <w:t xml:space="preserve">, VTY, and privileged </w:t>
      </w:r>
      <w:r w:rsidR="00A37DA1">
        <w:rPr>
          <w:rFonts w:eastAsia="Arial"/>
        </w:rPr>
        <w:t xml:space="preserve">EXEC </w:t>
      </w:r>
      <w:r w:rsidR="000814E3">
        <w:rPr>
          <w:rFonts w:eastAsia="Arial"/>
        </w:rPr>
        <w:t>mode:</w:t>
      </w:r>
    </w:p>
    <w:p w14:paraId="49A84EC7" w14:textId="5A5B5D1C" w:rsidR="00A37DA1" w:rsidRDefault="000814E3" w:rsidP="00F81933">
      <w:pPr>
        <w:pStyle w:val="BodyTextL25"/>
        <w:rPr>
          <w:rFonts w:eastAsia="Arial"/>
        </w:rPr>
      </w:pPr>
      <w:r>
        <w:rPr>
          <w:rFonts w:eastAsia="Arial"/>
        </w:rPr>
        <w:t xml:space="preserve">Username: </w:t>
      </w:r>
      <w:r w:rsidRPr="001616F2">
        <w:rPr>
          <w:rFonts w:eastAsia="Arial"/>
          <w:b/>
        </w:rPr>
        <w:t>admin01</w:t>
      </w:r>
    </w:p>
    <w:p w14:paraId="3650A1A5" w14:textId="4342E50B" w:rsidR="004B4636" w:rsidRDefault="000814E3" w:rsidP="00F81933">
      <w:pPr>
        <w:pStyle w:val="BodyTextL25"/>
        <w:rPr>
          <w:rFonts w:eastAsia="Arial"/>
        </w:rPr>
      </w:pPr>
      <w:r>
        <w:rPr>
          <w:rFonts w:eastAsia="Arial"/>
        </w:rPr>
        <w:t xml:space="preserve">Password: </w:t>
      </w:r>
      <w:r>
        <w:rPr>
          <w:rFonts w:eastAsia="Arial"/>
          <w:b/>
        </w:rPr>
        <w:t>ciscoPA</w:t>
      </w:r>
      <w:r w:rsidRPr="001616F2">
        <w:rPr>
          <w:rFonts w:eastAsia="Arial"/>
          <w:b/>
        </w:rPr>
        <w:t>55</w:t>
      </w:r>
    </w:p>
    <w:p w14:paraId="5550D9D6" w14:textId="3C1C623D" w:rsidR="000814E3" w:rsidRPr="00F81933" w:rsidRDefault="000814E3" w:rsidP="00F81933">
      <w:pPr>
        <w:pStyle w:val="BodyTextL25"/>
        <w:rPr>
          <w:rFonts w:eastAsia="Arial"/>
        </w:rPr>
      </w:pPr>
      <w:r>
        <w:rPr>
          <w:rFonts w:eastAsia="Arial"/>
        </w:rPr>
        <w:t xml:space="preserve">Enable secret: </w:t>
      </w:r>
      <w:r w:rsidRPr="000814E3">
        <w:rPr>
          <w:rFonts w:eastAsia="Arial"/>
          <w:b/>
        </w:rPr>
        <w:t>secretPA55</w:t>
      </w:r>
    </w:p>
    <w:p w14:paraId="3508132D" w14:textId="297CFFBD" w:rsidR="00C96FC2" w:rsidRPr="004C0909" w:rsidRDefault="00F81933" w:rsidP="00C96FC2">
      <w:pPr>
        <w:pStyle w:val="PartHead"/>
      </w:pPr>
      <w:r>
        <w:t xml:space="preserve">Configure a Standard IPv4 ACL to </w:t>
      </w:r>
      <w:r w:rsidR="000252A3">
        <w:t>Restrict Access to the Pink LAN</w:t>
      </w:r>
    </w:p>
    <w:p w14:paraId="11D485C9" w14:textId="5CE63F19" w:rsidR="00C96FC2" w:rsidRDefault="008C04BE" w:rsidP="00C96FC2">
      <w:pPr>
        <w:pStyle w:val="BodyTextL25"/>
      </w:pPr>
      <w:r>
        <w:t xml:space="preserve">In Part 1, </w:t>
      </w:r>
      <w:r w:rsidR="0049737B">
        <w:t xml:space="preserve">you will configure and apply </w:t>
      </w:r>
      <w:r w:rsidR="00F94300">
        <w:t xml:space="preserve">access </w:t>
      </w:r>
      <w:r w:rsidR="0049737B">
        <w:t>list 10 to restrict access to the Pink LAN</w:t>
      </w:r>
      <w:r>
        <w:t>.</w:t>
      </w:r>
    </w:p>
    <w:p w14:paraId="73467D5B" w14:textId="7859A9A4" w:rsidR="00E84B6D" w:rsidRDefault="00F94300" w:rsidP="00E84B6D">
      <w:pPr>
        <w:pStyle w:val="StepHead"/>
      </w:pPr>
      <w:r>
        <w:t>Outline what you wish to accomplish with access</w:t>
      </w:r>
      <w:r w:rsidR="00EA645A">
        <w:t xml:space="preserve"> </w:t>
      </w:r>
      <w:r>
        <w:t>list 10</w:t>
      </w:r>
      <w:r w:rsidR="00E84B6D">
        <w:t>.</w:t>
      </w:r>
    </w:p>
    <w:p w14:paraId="6C16AD18" w14:textId="7851227B" w:rsidR="00F1544B" w:rsidRDefault="00F94300" w:rsidP="00BC5CFC">
      <w:pPr>
        <w:pStyle w:val="BodyTextL25"/>
      </w:pPr>
      <w:r>
        <w:t>Access list 10 should</w:t>
      </w:r>
      <w:r w:rsidR="00323F10">
        <w:t xml:space="preserve"> have 4</w:t>
      </w:r>
      <w:r w:rsidR="000814E3">
        <w:t xml:space="preserve"> access control entries</w:t>
      </w:r>
      <w:r w:rsidR="00323F10">
        <w:t xml:space="preserve"> to do the following</w:t>
      </w:r>
      <w:r>
        <w:t>:</w:t>
      </w:r>
    </w:p>
    <w:p w14:paraId="4A50F493" w14:textId="22CDDFD5" w:rsidR="00F94300" w:rsidRDefault="00F94300">
      <w:pPr>
        <w:pStyle w:val="SubStepNum"/>
      </w:pPr>
      <w:r>
        <w:t xml:space="preserve">Access list 10 should start </w:t>
      </w:r>
      <w:r w:rsidR="00323F10">
        <w:t>with the following comment</w:t>
      </w:r>
      <w:r>
        <w:t>: ACL_TO_PINK_LAN</w:t>
      </w:r>
    </w:p>
    <w:p w14:paraId="68F2D847" w14:textId="4F10AD8B" w:rsidR="00F94300" w:rsidRDefault="00F94300">
      <w:pPr>
        <w:pStyle w:val="SubStepNum"/>
      </w:pPr>
      <w:r>
        <w:t>Permit PC-C to reach the Pink LAN</w:t>
      </w:r>
    </w:p>
    <w:p w14:paraId="324F0DAC" w14:textId="4DDE8C0E" w:rsidR="00F94300" w:rsidRDefault="00F94300">
      <w:pPr>
        <w:pStyle w:val="SubStepNum"/>
      </w:pPr>
      <w:r>
        <w:t xml:space="preserve">Permit </w:t>
      </w:r>
      <w:r w:rsidR="004F25ED">
        <w:t xml:space="preserve">only </w:t>
      </w:r>
      <w:r>
        <w:t>the first half of hosts on the Yellow LAN, so they can reach the Pink LAN</w:t>
      </w:r>
    </w:p>
    <w:p w14:paraId="4F8DAB17" w14:textId="7ED9E86D" w:rsidR="00F1544B" w:rsidRPr="00F94300" w:rsidRDefault="00F94300">
      <w:pPr>
        <w:pStyle w:val="SubStepNum"/>
      </w:pPr>
      <w:r>
        <w:t>Permit all of the host</w:t>
      </w:r>
      <w:r w:rsidR="002E7585">
        <w:t>s</w:t>
      </w:r>
      <w:r>
        <w:t xml:space="preserve"> on the Blue LAN to reach the Pink LAN</w:t>
      </w:r>
    </w:p>
    <w:p w14:paraId="4DAFA5B0" w14:textId="08B6A931" w:rsidR="000814E3" w:rsidRDefault="00EC2473" w:rsidP="00BC5CFC">
      <w:pPr>
        <w:pStyle w:val="BodyTextL25"/>
      </w:pPr>
      <w:r>
        <w:t>A</w:t>
      </w:r>
      <w:r w:rsidR="00F94300">
        <w:t xml:space="preserve">ccess list 10 should be configured on the correct router, and applied to the correct interface and </w:t>
      </w:r>
      <w:r w:rsidR="002E7585">
        <w:t xml:space="preserve">in the right </w:t>
      </w:r>
      <w:r w:rsidR="00F94300">
        <w:t>direction.</w:t>
      </w:r>
    </w:p>
    <w:p w14:paraId="66742408" w14:textId="450264A5" w:rsidR="000814E3" w:rsidRDefault="000814E3" w:rsidP="000814E3">
      <w:pPr>
        <w:pStyle w:val="StepHead"/>
      </w:pPr>
      <w:r>
        <w:t>C</w:t>
      </w:r>
      <w:r w:rsidR="00B1746A">
        <w:t>reate</w:t>
      </w:r>
      <w:r>
        <w:t>, apply, and test access-list 10.</w:t>
      </w:r>
    </w:p>
    <w:p w14:paraId="1097319B" w14:textId="0C0FD263" w:rsidR="000814E3" w:rsidRDefault="000814E3" w:rsidP="00BC5CFC">
      <w:pPr>
        <w:pStyle w:val="BodyTextL25"/>
      </w:pPr>
      <w:r>
        <w:t>After configuring and applying access list</w:t>
      </w:r>
      <w:r w:rsidR="004111BB">
        <w:t xml:space="preserve"> 10</w:t>
      </w:r>
      <w:r w:rsidR="00A035F7">
        <w:t>,</w:t>
      </w:r>
      <w:r>
        <w:t xml:space="preserve"> you should </w:t>
      </w:r>
      <w:r w:rsidR="00933B22">
        <w:t>be able to execute</w:t>
      </w:r>
      <w:r>
        <w:t xml:space="preserve"> the following</w:t>
      </w:r>
      <w:r w:rsidR="00933B22">
        <w:t xml:space="preserve"> network tests</w:t>
      </w:r>
      <w:r>
        <w:t>:</w:t>
      </w:r>
    </w:p>
    <w:p w14:paraId="5B383469" w14:textId="226FA310" w:rsidR="004111BB" w:rsidRDefault="004111BB" w:rsidP="004111BB">
      <w:pPr>
        <w:pStyle w:val="SubStepNum"/>
      </w:pPr>
      <w:r>
        <w:t>A</w:t>
      </w:r>
      <w:r w:rsidR="009D4CAC">
        <w:t>ll</w:t>
      </w:r>
      <w:r w:rsidR="00AF368D">
        <w:t xml:space="preserve"> </w:t>
      </w:r>
      <w:r w:rsidR="00D534B9">
        <w:t>ping</w:t>
      </w:r>
      <w:r w:rsidR="009D4CAC">
        <w:t>s</w:t>
      </w:r>
      <w:r w:rsidR="00D534B9">
        <w:t xml:space="preserve"> </w:t>
      </w:r>
      <w:r>
        <w:t>from host</w:t>
      </w:r>
      <w:r w:rsidR="009D4CAC">
        <w:t>s</w:t>
      </w:r>
      <w:r>
        <w:t xml:space="preserve"> in the Pink LAN should be successful, </w:t>
      </w:r>
      <w:r w:rsidR="00AF368D">
        <w:t xml:space="preserve">but a </w:t>
      </w:r>
      <w:r w:rsidR="00D534B9">
        <w:t xml:space="preserve">ping </w:t>
      </w:r>
      <w:r>
        <w:t xml:space="preserve">from PC-B </w:t>
      </w:r>
      <w:r w:rsidR="00AF368D">
        <w:t>should be denied</w:t>
      </w:r>
      <w:r>
        <w:t xml:space="preserve">. </w:t>
      </w:r>
    </w:p>
    <w:p w14:paraId="163F81C7" w14:textId="22631B10" w:rsidR="004111BB" w:rsidRDefault="004111BB" w:rsidP="004111BB">
      <w:pPr>
        <w:pStyle w:val="SubStepNum"/>
      </w:pPr>
      <w:r>
        <w:t>A</w:t>
      </w:r>
      <w:r w:rsidR="00AF368D">
        <w:t xml:space="preserve"> </w:t>
      </w:r>
      <w:r w:rsidR="00D534B9">
        <w:t xml:space="preserve">ping </w:t>
      </w:r>
      <w:r>
        <w:t xml:space="preserve">from PC-C to a host in the Pink LAN should be successful, </w:t>
      </w:r>
      <w:r w:rsidR="00AF368D">
        <w:t xml:space="preserve">but a </w:t>
      </w:r>
      <w:r w:rsidR="00D534B9">
        <w:t xml:space="preserve">ping </w:t>
      </w:r>
      <w:r>
        <w:t>from PC-D</w:t>
      </w:r>
      <w:r w:rsidR="00AF368D">
        <w:t xml:space="preserve"> should be denied</w:t>
      </w:r>
      <w:r>
        <w:t>.</w:t>
      </w:r>
    </w:p>
    <w:p w14:paraId="50AAA830" w14:textId="00F34742" w:rsidR="003527BB" w:rsidRPr="00FF2CD2" w:rsidRDefault="00AF368D" w:rsidP="00FF2CD2">
      <w:pPr>
        <w:pStyle w:val="SubStepNum"/>
      </w:pPr>
      <w:r>
        <w:t>P</w:t>
      </w:r>
      <w:r w:rsidR="004111BB">
        <w:t>ings from hosts in the Blue LAN to hosts in the Pink LAN should be successful.</w:t>
      </w:r>
    </w:p>
    <w:p w14:paraId="63791F62" w14:textId="4F11E6DD" w:rsidR="000D705E" w:rsidRDefault="00AF368D" w:rsidP="00BC5CFC">
      <w:pPr>
        <w:pStyle w:val="BodyTextL25"/>
      </w:pPr>
      <w:r>
        <w:t xml:space="preserve">What message is sent back to the PCs when a </w:t>
      </w:r>
      <w:r w:rsidR="00D534B9">
        <w:t xml:space="preserve">ping </w:t>
      </w:r>
      <w:r>
        <w:t>is denied due to an ACL</w:t>
      </w:r>
      <w:r w:rsidR="000D705E">
        <w:t>?</w:t>
      </w:r>
    </w:p>
    <w:p w14:paraId="33A8E433" w14:textId="77777777" w:rsidR="000D705E" w:rsidRDefault="000D705E" w:rsidP="00BC5CFC">
      <w:pPr>
        <w:pStyle w:val="BodyTextL25"/>
      </w:pPr>
      <w:r>
        <w:t>____________________________________________________________________________________</w:t>
      </w:r>
    </w:p>
    <w:p w14:paraId="4CBDA213" w14:textId="7CD29302" w:rsidR="00FF2CD2" w:rsidRDefault="00FF2CD2" w:rsidP="00BC5CFC">
      <w:pPr>
        <w:pStyle w:val="BodyTextL25"/>
      </w:pPr>
      <w:r>
        <w:t>Which</w:t>
      </w:r>
      <w:r w:rsidR="00867653">
        <w:t xml:space="preserve"> IP addresses</w:t>
      </w:r>
      <w:r>
        <w:t xml:space="preserve"> on the Yellow LAN are permitted to </w:t>
      </w:r>
      <w:r w:rsidR="00D534B9">
        <w:t xml:space="preserve">ping </w:t>
      </w:r>
      <w:r>
        <w:t>hosts on the Pink LAN?</w:t>
      </w:r>
    </w:p>
    <w:p w14:paraId="21FF82EE" w14:textId="77777777" w:rsidR="00FF2CD2" w:rsidRDefault="00FF2CD2" w:rsidP="00BC5CFC">
      <w:pPr>
        <w:pStyle w:val="BodyTextL25"/>
      </w:pPr>
      <w:r>
        <w:t>____________________________________________________________________________________</w:t>
      </w:r>
    </w:p>
    <w:p w14:paraId="6C250B83" w14:textId="7ECAE65D" w:rsidR="00570CC4" w:rsidRPr="004C0909" w:rsidRDefault="00570CC4" w:rsidP="00570CC4">
      <w:pPr>
        <w:pStyle w:val="PartHead"/>
      </w:pPr>
      <w:r>
        <w:t>Configure a Standard IPv4 ACL to Restrict Access to the Blue LAN</w:t>
      </w:r>
    </w:p>
    <w:p w14:paraId="64379D32" w14:textId="596B1035" w:rsidR="00570CC4" w:rsidRDefault="00323F10" w:rsidP="00570CC4">
      <w:pPr>
        <w:pStyle w:val="BodyTextL25"/>
      </w:pPr>
      <w:r>
        <w:t>In Part 2</w:t>
      </w:r>
      <w:r w:rsidR="00570CC4">
        <w:t>, you will configure and apply access list 20 to restrict access to the Blue LAN.</w:t>
      </w:r>
    </w:p>
    <w:p w14:paraId="449663B3" w14:textId="355EB50E" w:rsidR="00570CC4" w:rsidRDefault="00570CC4" w:rsidP="00570CC4">
      <w:pPr>
        <w:pStyle w:val="StepHead"/>
      </w:pPr>
      <w:r>
        <w:t xml:space="preserve">Outline what you wish </w:t>
      </w:r>
      <w:r w:rsidR="00FF2CD2">
        <w:t>to accomplish with access</w:t>
      </w:r>
      <w:r w:rsidR="00A035F7">
        <w:t xml:space="preserve"> </w:t>
      </w:r>
      <w:r w:rsidR="00FF2CD2">
        <w:t>list 2</w:t>
      </w:r>
      <w:r>
        <w:t>0.</w:t>
      </w:r>
    </w:p>
    <w:p w14:paraId="587BB061" w14:textId="40566E51" w:rsidR="00570CC4" w:rsidRDefault="00570CC4" w:rsidP="00BC5CFC">
      <w:pPr>
        <w:pStyle w:val="BodyTextL25"/>
      </w:pPr>
      <w:r>
        <w:t>Access list</w:t>
      </w:r>
      <w:r w:rsidR="00323F10">
        <w:t xml:space="preserve"> 2</w:t>
      </w:r>
      <w:r>
        <w:t>0 should</w:t>
      </w:r>
      <w:r w:rsidR="00323F10">
        <w:t xml:space="preserve"> have</w:t>
      </w:r>
      <w:r w:rsidR="00EC2473">
        <w:t xml:space="preserve"> 3</w:t>
      </w:r>
      <w:r>
        <w:t xml:space="preserve"> access control entries</w:t>
      </w:r>
      <w:r w:rsidR="00EC2473">
        <w:t xml:space="preserve"> to do the following</w:t>
      </w:r>
      <w:r>
        <w:t>:</w:t>
      </w:r>
    </w:p>
    <w:p w14:paraId="1C2A57BA" w14:textId="0D54A159" w:rsidR="00570CC4" w:rsidRDefault="00570CC4" w:rsidP="00570CC4">
      <w:pPr>
        <w:pStyle w:val="SubStepNum"/>
      </w:pPr>
      <w:r>
        <w:lastRenderedPageBreak/>
        <w:t xml:space="preserve">Access list </w:t>
      </w:r>
      <w:r w:rsidR="00EC2473">
        <w:t>2</w:t>
      </w:r>
      <w:r>
        <w:t>0 should start with the following comment: ACL_</w:t>
      </w:r>
      <w:r w:rsidR="00EC2473">
        <w:t>TO_BLUE</w:t>
      </w:r>
      <w:r>
        <w:t>_LAN</w:t>
      </w:r>
    </w:p>
    <w:p w14:paraId="1F742FEC" w14:textId="60C83612" w:rsidR="00570CC4" w:rsidRDefault="00EC2473" w:rsidP="00570CC4">
      <w:pPr>
        <w:pStyle w:val="SubStepNum"/>
      </w:pPr>
      <w:r>
        <w:t>Deny</w:t>
      </w:r>
      <w:r w:rsidR="00570CC4">
        <w:t xml:space="preserve"> </w:t>
      </w:r>
      <w:r>
        <w:t>the Yellow LAN from reaching the Blue</w:t>
      </w:r>
      <w:r w:rsidR="00570CC4">
        <w:t xml:space="preserve"> LAN</w:t>
      </w:r>
    </w:p>
    <w:p w14:paraId="29DFE790" w14:textId="7C16F0FD" w:rsidR="00570CC4" w:rsidRPr="00F94300" w:rsidRDefault="00EC2473" w:rsidP="00EC2473">
      <w:pPr>
        <w:pStyle w:val="SubStepNum"/>
      </w:pPr>
      <w:r>
        <w:t>Allow all other networks to reach the Blue</w:t>
      </w:r>
      <w:r w:rsidR="00570CC4">
        <w:t xml:space="preserve"> LAN</w:t>
      </w:r>
    </w:p>
    <w:p w14:paraId="0DC356E8" w14:textId="62857F8F" w:rsidR="00570CC4" w:rsidRDefault="00EC2473" w:rsidP="00BC5CFC">
      <w:pPr>
        <w:pStyle w:val="BodyTextL25"/>
      </w:pPr>
      <w:r>
        <w:t>A</w:t>
      </w:r>
      <w:r w:rsidR="00570CC4">
        <w:t xml:space="preserve">ccess </w:t>
      </w:r>
      <w:r>
        <w:t>list 2</w:t>
      </w:r>
      <w:r w:rsidR="00570CC4">
        <w:t xml:space="preserve">0 should be configured on the correct router, and applied to the correct interface and </w:t>
      </w:r>
      <w:r w:rsidR="002E7585">
        <w:t xml:space="preserve">in the right </w:t>
      </w:r>
      <w:r w:rsidR="00570CC4">
        <w:t>direction.</w:t>
      </w:r>
    </w:p>
    <w:p w14:paraId="19E9C2B9" w14:textId="2F154B00" w:rsidR="00570CC4" w:rsidRDefault="00570CC4" w:rsidP="00570CC4">
      <w:pPr>
        <w:pStyle w:val="StepHead"/>
      </w:pPr>
      <w:r>
        <w:t>C</w:t>
      </w:r>
      <w:r w:rsidR="00B1746A">
        <w:t>reate</w:t>
      </w:r>
      <w:r>
        <w:t>, apply, and test</w:t>
      </w:r>
      <w:r w:rsidR="00EC2473">
        <w:t xml:space="preserve"> access-list 2</w:t>
      </w:r>
      <w:r>
        <w:t>0.</w:t>
      </w:r>
    </w:p>
    <w:p w14:paraId="37DFEEC7" w14:textId="2C852A39" w:rsidR="00570CC4" w:rsidRDefault="00570CC4" w:rsidP="00BC5CFC">
      <w:pPr>
        <w:pStyle w:val="BodyTextL25"/>
      </w:pPr>
      <w:r>
        <w:t>After configuring and applying access list</w:t>
      </w:r>
      <w:r w:rsidR="00EC2473">
        <w:t xml:space="preserve"> 2</w:t>
      </w:r>
      <w:r>
        <w:t>0 you should be able to execute the following network tests:</w:t>
      </w:r>
    </w:p>
    <w:p w14:paraId="24D80B48" w14:textId="44DD4C06" w:rsidR="00570CC4" w:rsidRDefault="00EC2473" w:rsidP="00570CC4">
      <w:pPr>
        <w:pStyle w:val="SubStepNum"/>
      </w:pPr>
      <w:r>
        <w:t>Pings from</w:t>
      </w:r>
      <w:r w:rsidR="009D4CAC">
        <w:t xml:space="preserve"> all other</w:t>
      </w:r>
      <w:r>
        <w:t xml:space="preserve"> </w:t>
      </w:r>
      <w:r w:rsidR="00570CC4">
        <w:t>host</w:t>
      </w:r>
      <w:r>
        <w:t>s</w:t>
      </w:r>
      <w:r w:rsidR="00570CC4">
        <w:t xml:space="preserve"> </w:t>
      </w:r>
      <w:r>
        <w:t>in the Yellow LAN to</w:t>
      </w:r>
      <w:r w:rsidR="00570CC4">
        <w:t xml:space="preserve"> </w:t>
      </w:r>
      <w:r>
        <w:t>the Blue</w:t>
      </w:r>
      <w:r w:rsidR="00570CC4">
        <w:t xml:space="preserve"> LAN </w:t>
      </w:r>
      <w:r w:rsidR="00AE44CC">
        <w:t>should fail</w:t>
      </w:r>
      <w:r w:rsidR="00570CC4">
        <w:t xml:space="preserve">. </w:t>
      </w:r>
    </w:p>
    <w:p w14:paraId="61F2268A" w14:textId="10D65ED6" w:rsidR="005C422F" w:rsidRDefault="00570CC4" w:rsidP="00B32178">
      <w:pPr>
        <w:pStyle w:val="SubStepNum"/>
      </w:pPr>
      <w:r>
        <w:t>Ping</w:t>
      </w:r>
      <w:r w:rsidR="00EC2473">
        <w:t>s</w:t>
      </w:r>
      <w:r w:rsidR="00AE44CC">
        <w:t xml:space="preserve"> from hosts in the Green and Pink LANs to the Blue</w:t>
      </w:r>
      <w:r>
        <w:t xml:space="preserve"> LAN should be successful</w:t>
      </w:r>
      <w:r w:rsidR="00B32178">
        <w:t>.</w:t>
      </w:r>
    </w:p>
    <w:p w14:paraId="21BD57B3" w14:textId="49E51A04" w:rsidR="005C422F" w:rsidRDefault="005C422F" w:rsidP="005C422F">
      <w:pPr>
        <w:pStyle w:val="StepHead"/>
      </w:pPr>
      <w:r>
        <w:t>Insert an ACE into access-list 20.</w:t>
      </w:r>
    </w:p>
    <w:p w14:paraId="77DA2027" w14:textId="3C938151" w:rsidR="005C422F" w:rsidRDefault="006D3591" w:rsidP="00BC5CFC">
      <w:pPr>
        <w:pStyle w:val="BodyTextL25"/>
      </w:pPr>
      <w:r>
        <w:t>You need to make a change</w:t>
      </w:r>
      <w:r w:rsidR="005C422F">
        <w:t xml:space="preserve"> </w:t>
      </w:r>
      <w:r>
        <w:t xml:space="preserve">to </w:t>
      </w:r>
      <w:r w:rsidR="005C422F">
        <w:t>access list</w:t>
      </w:r>
      <w:r>
        <w:t xml:space="preserve"> 20</w:t>
      </w:r>
      <w:r w:rsidR="005C422F">
        <w:t xml:space="preserve">. Insert an access control entry into access list 20 to permit PC-A to reach </w:t>
      </w:r>
      <w:r w:rsidR="002E7585">
        <w:t>the Blue</w:t>
      </w:r>
      <w:r w:rsidR="00757DF3">
        <w:t xml:space="preserve"> LAN. Insert the ACE prior to the other access list 20 permit and deny </w:t>
      </w:r>
      <w:r w:rsidR="00B32178">
        <w:t xml:space="preserve">access control </w:t>
      </w:r>
      <w:r w:rsidR="00757DF3">
        <w:t xml:space="preserve">entries. </w:t>
      </w:r>
      <w:r w:rsidR="005C422F">
        <w:t xml:space="preserve"> </w:t>
      </w:r>
    </w:p>
    <w:p w14:paraId="4A2342E9" w14:textId="72778C9C" w:rsidR="00570CC4" w:rsidRDefault="00757DF3" w:rsidP="00BC5CFC">
      <w:pPr>
        <w:pStyle w:val="BodyTextL25"/>
      </w:pPr>
      <w:r>
        <w:t>How do you insert or remove an ACE into a specific line of an ACL</w:t>
      </w:r>
      <w:r w:rsidR="00570CC4">
        <w:t>?</w:t>
      </w:r>
    </w:p>
    <w:p w14:paraId="45CAD004" w14:textId="77777777" w:rsidR="00570CC4" w:rsidRDefault="00570CC4" w:rsidP="00BC5CFC">
      <w:pPr>
        <w:pStyle w:val="BodyTextL25"/>
      </w:pPr>
      <w:r>
        <w:t>____________________________________________________________________________________</w:t>
      </w:r>
    </w:p>
    <w:p w14:paraId="2A15BFE2" w14:textId="0049FE55" w:rsidR="00757DF3" w:rsidRDefault="00757DF3" w:rsidP="00BC5CFC">
      <w:pPr>
        <w:pStyle w:val="BodyTextL25"/>
      </w:pPr>
      <w:r>
        <w:t>What line did you enter the ACE on?</w:t>
      </w:r>
    </w:p>
    <w:p w14:paraId="1F6EFD59" w14:textId="77777777" w:rsidR="00757DF3" w:rsidRDefault="00757DF3" w:rsidP="00BC5CFC">
      <w:pPr>
        <w:pStyle w:val="BodyTextL25"/>
      </w:pPr>
      <w:r>
        <w:t>____________________________________________________________________________________</w:t>
      </w:r>
    </w:p>
    <w:p w14:paraId="275A4FF1" w14:textId="2CE73995" w:rsidR="00DA5E26" w:rsidRPr="004C0909" w:rsidRDefault="00DA5E26" w:rsidP="00DA5E26">
      <w:pPr>
        <w:pStyle w:val="PartHead"/>
      </w:pPr>
      <w:r>
        <w:t>Configure a Named Standard IPv4 ACL</w:t>
      </w:r>
    </w:p>
    <w:p w14:paraId="4EB98766" w14:textId="15621987" w:rsidR="00DA5E26" w:rsidRDefault="00DA5E26" w:rsidP="00DA5E26">
      <w:pPr>
        <w:pStyle w:val="BodyTextL25"/>
      </w:pPr>
      <w:r>
        <w:t>In Part 3, you will configure and apply a named standard IPv4 ACL to restrict remote access to router R1.</w:t>
      </w:r>
    </w:p>
    <w:p w14:paraId="3E8C2C65" w14:textId="3BAA955D" w:rsidR="00DA5E26" w:rsidRDefault="00DA5E26" w:rsidP="00DA5E26">
      <w:pPr>
        <w:pStyle w:val="StepHead"/>
      </w:pPr>
      <w:r>
        <w:t>Outline what you wish to accomplish with named standard ACL.</w:t>
      </w:r>
    </w:p>
    <w:p w14:paraId="228FFE74" w14:textId="5A30ED08" w:rsidR="00DA5E26" w:rsidRDefault="00DA5E26" w:rsidP="00BC5CFC">
      <w:pPr>
        <w:pStyle w:val="BodyTextL25"/>
      </w:pPr>
      <w:r>
        <w:t>The named access list should do the following:</w:t>
      </w:r>
    </w:p>
    <w:p w14:paraId="092160DD" w14:textId="572F01AD" w:rsidR="00DA5E26" w:rsidRDefault="00DA5E26" w:rsidP="00DA5E26">
      <w:pPr>
        <w:pStyle w:val="SubStepNum"/>
      </w:pPr>
      <w:r>
        <w:t>On R1 create a standard ACL named ADMIN_VTY</w:t>
      </w:r>
    </w:p>
    <w:p w14:paraId="608DC504" w14:textId="23C6C043" w:rsidR="00DA5E26" w:rsidRDefault="00DA5E26" w:rsidP="00DA5E26">
      <w:pPr>
        <w:pStyle w:val="SubStepNum"/>
      </w:pPr>
      <w:r>
        <w:t>Permit a single host, PC-C</w:t>
      </w:r>
    </w:p>
    <w:p w14:paraId="657F63E1" w14:textId="3ADEDED0" w:rsidR="00DA5E26" w:rsidRDefault="00DA5E26" w:rsidP="00DA5E26">
      <w:pPr>
        <w:pStyle w:val="SubStepNum"/>
      </w:pPr>
      <w:r>
        <w:t>Apply the ACL to the VTY lines</w:t>
      </w:r>
    </w:p>
    <w:p w14:paraId="63279085" w14:textId="1842FBDE" w:rsidR="00DA5E26" w:rsidRDefault="00DA5E26" w:rsidP="00DA5E26">
      <w:pPr>
        <w:pStyle w:val="StepHead"/>
      </w:pPr>
      <w:r>
        <w:t>Test access-list ADMIN_VTY.</w:t>
      </w:r>
    </w:p>
    <w:p w14:paraId="7FE019BA" w14:textId="2BD3C9C1" w:rsidR="00DA5E26" w:rsidRDefault="00DA5E26" w:rsidP="00BC5CFC">
      <w:pPr>
        <w:pStyle w:val="BodyTextL25"/>
      </w:pPr>
      <w:r>
        <w:t>After configuring and applying access list ADMIN_VTY</w:t>
      </w:r>
      <w:r w:rsidR="00BC5CFC">
        <w:t>,</w:t>
      </w:r>
      <w:r>
        <w:t xml:space="preserve"> you should be able to execute the following network test:</w:t>
      </w:r>
    </w:p>
    <w:p w14:paraId="5347E57D" w14:textId="33CD025F" w:rsidR="00DA5E26" w:rsidRDefault="00DA5E26" w:rsidP="00DA5E26">
      <w:pPr>
        <w:pStyle w:val="SubStepNum"/>
      </w:pPr>
      <w:r>
        <w:t xml:space="preserve">An SSH connection from host PC-C to R1 should be successful. </w:t>
      </w:r>
    </w:p>
    <w:p w14:paraId="5A06BD75" w14:textId="623BCB88" w:rsidR="004F25ED" w:rsidRPr="004F25ED" w:rsidRDefault="00DA5E26" w:rsidP="004F25ED">
      <w:pPr>
        <w:pStyle w:val="SubStepNum"/>
      </w:pPr>
      <w:r>
        <w:t>SSH connections from all other hosts should fail.</w:t>
      </w:r>
    </w:p>
    <w:p w14:paraId="0886C7ED" w14:textId="77777777" w:rsidR="004F25ED" w:rsidRDefault="004F25ED" w:rsidP="004F25ED">
      <w:pPr>
        <w:pStyle w:val="LabSection"/>
      </w:pPr>
      <w:r>
        <w:t>Reflection</w:t>
      </w:r>
    </w:p>
    <w:p w14:paraId="35B0977B" w14:textId="1ACA8FF3" w:rsidR="004F25ED" w:rsidRDefault="004F25ED" w:rsidP="004F25ED">
      <w:pPr>
        <w:pStyle w:val="BodyTextL25"/>
      </w:pPr>
      <w:r>
        <w:t>This lab features two standard ACLs to restrict traffic to the Pink and Blue LANs. Could you create 2 more standard ACLs to restrict traffic to the Yellow and Green ACLs and which router wou</w:t>
      </w:r>
      <w:r w:rsidR="005C0AB0">
        <w:t>l</w:t>
      </w:r>
      <w:r>
        <w:t xml:space="preserve">d those ACLs need to be created on? </w:t>
      </w:r>
    </w:p>
    <w:p w14:paraId="52B00EFE" w14:textId="77777777" w:rsidR="004F25ED" w:rsidRDefault="004F25ED" w:rsidP="004F25ED">
      <w:pPr>
        <w:pStyle w:val="BodyTextL25"/>
      </w:pPr>
      <w:r>
        <w:t>_______________________________________________________________________________________</w:t>
      </w:r>
    </w:p>
    <w:p w14:paraId="473C00C9" w14:textId="77777777" w:rsidR="004F25ED" w:rsidRDefault="004F25ED" w:rsidP="004F25ED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sectPr w:rsidR="004F25ED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ED880" w14:textId="77777777" w:rsidR="00C52CDD" w:rsidRDefault="00C52CDD" w:rsidP="0090659A">
      <w:pPr>
        <w:spacing w:after="0" w:line="240" w:lineRule="auto"/>
      </w:pPr>
      <w:r>
        <w:separator/>
      </w:r>
    </w:p>
    <w:p w14:paraId="35B45961" w14:textId="77777777" w:rsidR="00C52CDD" w:rsidRDefault="00C52CDD"/>
    <w:p w14:paraId="62D59E86" w14:textId="77777777" w:rsidR="00C52CDD" w:rsidRDefault="00C52CDD"/>
    <w:p w14:paraId="382F750A" w14:textId="77777777" w:rsidR="00C52CDD" w:rsidRDefault="00C52CDD"/>
    <w:p w14:paraId="0FA9CBDD" w14:textId="77777777" w:rsidR="00C52CDD" w:rsidRDefault="00C52CDD"/>
  </w:endnote>
  <w:endnote w:type="continuationSeparator" w:id="0">
    <w:p w14:paraId="6620C232" w14:textId="77777777" w:rsidR="00C52CDD" w:rsidRDefault="00C52CDD" w:rsidP="0090659A">
      <w:pPr>
        <w:spacing w:after="0" w:line="240" w:lineRule="auto"/>
      </w:pPr>
      <w:r>
        <w:continuationSeparator/>
      </w:r>
    </w:p>
    <w:p w14:paraId="11C6F094" w14:textId="77777777" w:rsidR="00C52CDD" w:rsidRDefault="00C52CDD"/>
    <w:p w14:paraId="18080D46" w14:textId="77777777" w:rsidR="00C52CDD" w:rsidRDefault="00C52CDD"/>
    <w:p w14:paraId="07F1F00E" w14:textId="77777777" w:rsidR="00C52CDD" w:rsidRDefault="00C52CDD"/>
    <w:p w14:paraId="6792F059" w14:textId="77777777" w:rsidR="00C52CDD" w:rsidRDefault="00C52C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16C92" w14:textId="7D783111" w:rsidR="0080520C" w:rsidRPr="0090659A" w:rsidRDefault="0080520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344B29">
      <w:rPr>
        <w:noProof/>
      </w:rPr>
      <w:t>2019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44B29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44B29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54C4D" w14:textId="34E986A8" w:rsidR="0080520C" w:rsidRPr="0090659A" w:rsidRDefault="0080520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344B29">
      <w:rPr>
        <w:noProof/>
      </w:rPr>
      <w:t>2019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44B29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44B29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D3B30" w14:textId="77777777" w:rsidR="00C52CDD" w:rsidRDefault="00C52CDD" w:rsidP="0090659A">
      <w:pPr>
        <w:spacing w:after="0" w:line="240" w:lineRule="auto"/>
      </w:pPr>
      <w:r>
        <w:separator/>
      </w:r>
    </w:p>
    <w:p w14:paraId="26A481C5" w14:textId="77777777" w:rsidR="00C52CDD" w:rsidRDefault="00C52CDD"/>
    <w:p w14:paraId="10133A89" w14:textId="77777777" w:rsidR="00C52CDD" w:rsidRDefault="00C52CDD"/>
    <w:p w14:paraId="4CB956B0" w14:textId="77777777" w:rsidR="00C52CDD" w:rsidRDefault="00C52CDD"/>
    <w:p w14:paraId="7D3F6B43" w14:textId="77777777" w:rsidR="00C52CDD" w:rsidRDefault="00C52CDD"/>
  </w:footnote>
  <w:footnote w:type="continuationSeparator" w:id="0">
    <w:p w14:paraId="58A16F74" w14:textId="77777777" w:rsidR="00C52CDD" w:rsidRDefault="00C52CDD" w:rsidP="0090659A">
      <w:pPr>
        <w:spacing w:after="0" w:line="240" w:lineRule="auto"/>
      </w:pPr>
      <w:r>
        <w:continuationSeparator/>
      </w:r>
    </w:p>
    <w:p w14:paraId="443D987F" w14:textId="77777777" w:rsidR="00C52CDD" w:rsidRDefault="00C52CDD"/>
    <w:p w14:paraId="0A10146F" w14:textId="77777777" w:rsidR="00C52CDD" w:rsidRDefault="00C52CDD"/>
    <w:p w14:paraId="25ECA710" w14:textId="77777777" w:rsidR="00C52CDD" w:rsidRDefault="00C52CDD"/>
    <w:p w14:paraId="02D1E842" w14:textId="77777777" w:rsidR="00C52CDD" w:rsidRDefault="00C52C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F4286" w14:textId="1033BC84" w:rsidR="0080520C" w:rsidRDefault="00650807" w:rsidP="00C52BA6">
    <w:pPr>
      <w:pStyle w:val="PageHead"/>
    </w:pPr>
    <w:r>
      <w:t>Packet Tracer</w:t>
    </w:r>
    <w:r w:rsidRPr="00FD4A68">
      <w:t xml:space="preserve"> </w:t>
    </w:r>
    <w:r w:rsidR="0080520C">
      <w:t>–</w:t>
    </w:r>
    <w:r w:rsidR="0080520C" w:rsidRPr="00FD4A68">
      <w:t xml:space="preserve"> </w:t>
    </w:r>
    <w:r w:rsidR="0080520C">
      <w:t xml:space="preserve">Configure </w:t>
    </w:r>
    <w:r w:rsidR="00427B13">
      <w:t>Standard IPv4 ACLs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E192F" w14:textId="77777777" w:rsidR="0080520C" w:rsidRDefault="0080520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CD7C2EF" wp14:editId="5C5E2B1B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snapToGrid w:val="0"/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000000"/>
          <w:spacing w:val="0"/>
          <w:w w:val="1"/>
          <w:kern w:val="0"/>
          <w:position w:val="0"/>
          <w:sz w:val="2"/>
          <w:szCs w:val="2"/>
          <w:u w:val="none" w:color="000000"/>
          <w:effect w:val="none"/>
          <w:bdr w:val="none" w:sz="0" w:space="0" w:color="auto" w:frame="1"/>
          <w:shd w:val="clear" w:color="auto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Y0MzC2sLC0MDYwMTdX0lEKTi0uzszPAykwrAUAA2g5hCwAAAA="/>
    <w:docVar w:name="__grammarly61__i" w:val="H4sIAAAAAAAEAKtWckksSQxILCpxzi/NK1GyMqwFAAEhoTITAAAA"/>
    <w:docVar w:name="__grammarly61_1" w:val="H4sIAAAAAAAEAKtWcslPLs1NzSvxTFGyUkoyTjMwNLQw0zU2NLbUNbEwMtS1TEy21DU2TzFONE1OTjW2TFPSUQpOLS7OzM8DaTGtBQB10kM8QwAAAA=="/>
  </w:docVars>
  <w:rsids>
    <w:rsidRoot w:val="0067725C"/>
    <w:rsid w:val="00004175"/>
    <w:rsid w:val="000059C9"/>
    <w:rsid w:val="00013C67"/>
    <w:rsid w:val="000160F7"/>
    <w:rsid w:val="00016D5B"/>
    <w:rsid w:val="00016F30"/>
    <w:rsid w:val="0002047C"/>
    <w:rsid w:val="00021B9A"/>
    <w:rsid w:val="00023297"/>
    <w:rsid w:val="000240B8"/>
    <w:rsid w:val="000242D6"/>
    <w:rsid w:val="00024EE5"/>
    <w:rsid w:val="000252A3"/>
    <w:rsid w:val="0002705B"/>
    <w:rsid w:val="0003624D"/>
    <w:rsid w:val="00041AF6"/>
    <w:rsid w:val="00044E62"/>
    <w:rsid w:val="00050BA4"/>
    <w:rsid w:val="00051738"/>
    <w:rsid w:val="00052548"/>
    <w:rsid w:val="00060696"/>
    <w:rsid w:val="00063133"/>
    <w:rsid w:val="000650E4"/>
    <w:rsid w:val="000668F1"/>
    <w:rsid w:val="00073539"/>
    <w:rsid w:val="000769CF"/>
    <w:rsid w:val="000814E3"/>
    <w:rsid w:val="000815D8"/>
    <w:rsid w:val="00084C99"/>
    <w:rsid w:val="00085CC6"/>
    <w:rsid w:val="00090C07"/>
    <w:rsid w:val="00091E8D"/>
    <w:rsid w:val="0009378D"/>
    <w:rsid w:val="00097163"/>
    <w:rsid w:val="000A22C8"/>
    <w:rsid w:val="000B0CB3"/>
    <w:rsid w:val="000B2344"/>
    <w:rsid w:val="000B7DE5"/>
    <w:rsid w:val="000D55B4"/>
    <w:rsid w:val="000D705E"/>
    <w:rsid w:val="000E2B30"/>
    <w:rsid w:val="000E65F0"/>
    <w:rsid w:val="000F072C"/>
    <w:rsid w:val="000F0E29"/>
    <w:rsid w:val="000F6743"/>
    <w:rsid w:val="001006C2"/>
    <w:rsid w:val="00100FDC"/>
    <w:rsid w:val="00107B2B"/>
    <w:rsid w:val="00111281"/>
    <w:rsid w:val="00112AC5"/>
    <w:rsid w:val="001133DD"/>
    <w:rsid w:val="00120CBE"/>
    <w:rsid w:val="00123085"/>
    <w:rsid w:val="001261C4"/>
    <w:rsid w:val="001305D3"/>
    <w:rsid w:val="001314FB"/>
    <w:rsid w:val="001366EC"/>
    <w:rsid w:val="0014219C"/>
    <w:rsid w:val="001425ED"/>
    <w:rsid w:val="00144997"/>
    <w:rsid w:val="0014693C"/>
    <w:rsid w:val="001471DE"/>
    <w:rsid w:val="0015326D"/>
    <w:rsid w:val="00154CA6"/>
    <w:rsid w:val="00154E3A"/>
    <w:rsid w:val="00157902"/>
    <w:rsid w:val="00163164"/>
    <w:rsid w:val="001656A6"/>
    <w:rsid w:val="00166253"/>
    <w:rsid w:val="001704B7"/>
    <w:rsid w:val="001710C0"/>
    <w:rsid w:val="00172AFB"/>
    <w:rsid w:val="00175468"/>
    <w:rsid w:val="001772B8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5C67"/>
    <w:rsid w:val="001A68E1"/>
    <w:rsid w:val="001A69AC"/>
    <w:rsid w:val="001B67D8"/>
    <w:rsid w:val="001B6F95"/>
    <w:rsid w:val="001C05A1"/>
    <w:rsid w:val="001C1D9E"/>
    <w:rsid w:val="001C35FD"/>
    <w:rsid w:val="001C4EB1"/>
    <w:rsid w:val="001C7C3B"/>
    <w:rsid w:val="001D5B6F"/>
    <w:rsid w:val="001E0AB8"/>
    <w:rsid w:val="001E38E0"/>
    <w:rsid w:val="001E4E72"/>
    <w:rsid w:val="001E62B3"/>
    <w:rsid w:val="001F0171"/>
    <w:rsid w:val="001F06C9"/>
    <w:rsid w:val="001F0909"/>
    <w:rsid w:val="001F0D77"/>
    <w:rsid w:val="001F2BAB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7A2"/>
    <w:rsid w:val="0021792C"/>
    <w:rsid w:val="002235FA"/>
    <w:rsid w:val="002240AB"/>
    <w:rsid w:val="00225E37"/>
    <w:rsid w:val="00242E3A"/>
    <w:rsid w:val="00245653"/>
    <w:rsid w:val="002506CF"/>
    <w:rsid w:val="0025107F"/>
    <w:rsid w:val="00260CD4"/>
    <w:rsid w:val="002639D8"/>
    <w:rsid w:val="002639ED"/>
    <w:rsid w:val="00265EC8"/>
    <w:rsid w:val="00265F77"/>
    <w:rsid w:val="00266C83"/>
    <w:rsid w:val="00271D07"/>
    <w:rsid w:val="002768DC"/>
    <w:rsid w:val="00277665"/>
    <w:rsid w:val="00280673"/>
    <w:rsid w:val="002822F4"/>
    <w:rsid w:val="00283718"/>
    <w:rsid w:val="0029431B"/>
    <w:rsid w:val="002A6C56"/>
    <w:rsid w:val="002B0325"/>
    <w:rsid w:val="002B0C56"/>
    <w:rsid w:val="002C090C"/>
    <w:rsid w:val="002C1243"/>
    <w:rsid w:val="002C1815"/>
    <w:rsid w:val="002C475E"/>
    <w:rsid w:val="002C4AF5"/>
    <w:rsid w:val="002C6AD6"/>
    <w:rsid w:val="002D5AED"/>
    <w:rsid w:val="002D6C2A"/>
    <w:rsid w:val="002D7587"/>
    <w:rsid w:val="002D7A86"/>
    <w:rsid w:val="002E28FE"/>
    <w:rsid w:val="002E7585"/>
    <w:rsid w:val="002F45FF"/>
    <w:rsid w:val="002F6D17"/>
    <w:rsid w:val="00302887"/>
    <w:rsid w:val="003056EB"/>
    <w:rsid w:val="00305C40"/>
    <w:rsid w:val="003071FF"/>
    <w:rsid w:val="00310652"/>
    <w:rsid w:val="0031371D"/>
    <w:rsid w:val="0031789F"/>
    <w:rsid w:val="0031795C"/>
    <w:rsid w:val="00320788"/>
    <w:rsid w:val="0032159D"/>
    <w:rsid w:val="003233A3"/>
    <w:rsid w:val="00323F10"/>
    <w:rsid w:val="00342CA0"/>
    <w:rsid w:val="0034455D"/>
    <w:rsid w:val="00344B29"/>
    <w:rsid w:val="0034604B"/>
    <w:rsid w:val="00346D17"/>
    <w:rsid w:val="00347972"/>
    <w:rsid w:val="00351315"/>
    <w:rsid w:val="003527BB"/>
    <w:rsid w:val="0035469B"/>
    <w:rsid w:val="003559CC"/>
    <w:rsid w:val="003569D7"/>
    <w:rsid w:val="003608AC"/>
    <w:rsid w:val="0036465A"/>
    <w:rsid w:val="00364B41"/>
    <w:rsid w:val="0036720C"/>
    <w:rsid w:val="00372AC7"/>
    <w:rsid w:val="00374F11"/>
    <w:rsid w:val="0037526E"/>
    <w:rsid w:val="00381968"/>
    <w:rsid w:val="00392C65"/>
    <w:rsid w:val="00392ED5"/>
    <w:rsid w:val="00396C7E"/>
    <w:rsid w:val="00397140"/>
    <w:rsid w:val="00397E48"/>
    <w:rsid w:val="003A19DC"/>
    <w:rsid w:val="003A1B45"/>
    <w:rsid w:val="003A220C"/>
    <w:rsid w:val="003A5844"/>
    <w:rsid w:val="003B36AB"/>
    <w:rsid w:val="003B46FC"/>
    <w:rsid w:val="003B5767"/>
    <w:rsid w:val="003B7605"/>
    <w:rsid w:val="003C08AA"/>
    <w:rsid w:val="003C2A7B"/>
    <w:rsid w:val="003C6BCA"/>
    <w:rsid w:val="003C7902"/>
    <w:rsid w:val="003D0BFF"/>
    <w:rsid w:val="003E37D4"/>
    <w:rsid w:val="003E53EF"/>
    <w:rsid w:val="003E5BE5"/>
    <w:rsid w:val="003F18D1"/>
    <w:rsid w:val="003F4F0E"/>
    <w:rsid w:val="003F6E06"/>
    <w:rsid w:val="00403C7A"/>
    <w:rsid w:val="004057A6"/>
    <w:rsid w:val="00406554"/>
    <w:rsid w:val="004111BB"/>
    <w:rsid w:val="004131B0"/>
    <w:rsid w:val="00413ADE"/>
    <w:rsid w:val="00415296"/>
    <w:rsid w:val="00415834"/>
    <w:rsid w:val="00416C42"/>
    <w:rsid w:val="00421AEA"/>
    <w:rsid w:val="00422402"/>
    <w:rsid w:val="00422476"/>
    <w:rsid w:val="00423112"/>
    <w:rsid w:val="0042385C"/>
    <w:rsid w:val="00424FED"/>
    <w:rsid w:val="00427B13"/>
    <w:rsid w:val="00431292"/>
    <w:rsid w:val="00431654"/>
    <w:rsid w:val="00432DE6"/>
    <w:rsid w:val="004345DD"/>
    <w:rsid w:val="00434926"/>
    <w:rsid w:val="00443ACE"/>
    <w:rsid w:val="00444217"/>
    <w:rsid w:val="004469B6"/>
    <w:rsid w:val="004478F4"/>
    <w:rsid w:val="00450F7A"/>
    <w:rsid w:val="0045209F"/>
    <w:rsid w:val="00452C6D"/>
    <w:rsid w:val="00455E0B"/>
    <w:rsid w:val="004619DA"/>
    <w:rsid w:val="00462B9F"/>
    <w:rsid w:val="004659EE"/>
    <w:rsid w:val="004936C2"/>
    <w:rsid w:val="0049379C"/>
    <w:rsid w:val="0049737B"/>
    <w:rsid w:val="004A1CA0"/>
    <w:rsid w:val="004A22E9"/>
    <w:rsid w:val="004A4ACD"/>
    <w:rsid w:val="004A5BC5"/>
    <w:rsid w:val="004B023D"/>
    <w:rsid w:val="004B29E2"/>
    <w:rsid w:val="004B4636"/>
    <w:rsid w:val="004C0909"/>
    <w:rsid w:val="004C3F97"/>
    <w:rsid w:val="004D01F2"/>
    <w:rsid w:val="004D3339"/>
    <w:rsid w:val="004D353F"/>
    <w:rsid w:val="004D36D7"/>
    <w:rsid w:val="004D536E"/>
    <w:rsid w:val="004D682B"/>
    <w:rsid w:val="004E6152"/>
    <w:rsid w:val="004F25ED"/>
    <w:rsid w:val="004F344A"/>
    <w:rsid w:val="004F6B81"/>
    <w:rsid w:val="00504ED4"/>
    <w:rsid w:val="005105F0"/>
    <w:rsid w:val="00510639"/>
    <w:rsid w:val="00512486"/>
    <w:rsid w:val="00512C97"/>
    <w:rsid w:val="005146A6"/>
    <w:rsid w:val="00516142"/>
    <w:rsid w:val="00520027"/>
    <w:rsid w:val="00520759"/>
    <w:rsid w:val="0052093C"/>
    <w:rsid w:val="00521B31"/>
    <w:rsid w:val="00522469"/>
    <w:rsid w:val="00523BF8"/>
    <w:rsid w:val="0052400A"/>
    <w:rsid w:val="0053041D"/>
    <w:rsid w:val="00536F43"/>
    <w:rsid w:val="00543CA3"/>
    <w:rsid w:val="00543E26"/>
    <w:rsid w:val="005510BA"/>
    <w:rsid w:val="00554662"/>
    <w:rsid w:val="00554B4E"/>
    <w:rsid w:val="00556C02"/>
    <w:rsid w:val="00560739"/>
    <w:rsid w:val="00561BB2"/>
    <w:rsid w:val="00562F6F"/>
    <w:rsid w:val="00563249"/>
    <w:rsid w:val="0056505A"/>
    <w:rsid w:val="005668B0"/>
    <w:rsid w:val="00570A65"/>
    <w:rsid w:val="00570CC4"/>
    <w:rsid w:val="005762B1"/>
    <w:rsid w:val="00580456"/>
    <w:rsid w:val="00580E73"/>
    <w:rsid w:val="00581ADA"/>
    <w:rsid w:val="005862E6"/>
    <w:rsid w:val="00593386"/>
    <w:rsid w:val="00596998"/>
    <w:rsid w:val="005A6E62"/>
    <w:rsid w:val="005C0AB0"/>
    <w:rsid w:val="005C1821"/>
    <w:rsid w:val="005C422F"/>
    <w:rsid w:val="005D1EE2"/>
    <w:rsid w:val="005D2B29"/>
    <w:rsid w:val="005D354A"/>
    <w:rsid w:val="005D6054"/>
    <w:rsid w:val="005E3235"/>
    <w:rsid w:val="005E4176"/>
    <w:rsid w:val="005E65B5"/>
    <w:rsid w:val="005F3AE9"/>
    <w:rsid w:val="005F4565"/>
    <w:rsid w:val="005F4648"/>
    <w:rsid w:val="006007BB"/>
    <w:rsid w:val="00601DC0"/>
    <w:rsid w:val="006034CB"/>
    <w:rsid w:val="006131CE"/>
    <w:rsid w:val="0061336B"/>
    <w:rsid w:val="006171C6"/>
    <w:rsid w:val="0061770A"/>
    <w:rsid w:val="00617D6E"/>
    <w:rsid w:val="00622D61"/>
    <w:rsid w:val="0062377C"/>
    <w:rsid w:val="00624198"/>
    <w:rsid w:val="00626F0D"/>
    <w:rsid w:val="0064025C"/>
    <w:rsid w:val="006428E5"/>
    <w:rsid w:val="00644958"/>
    <w:rsid w:val="00650807"/>
    <w:rsid w:val="00656556"/>
    <w:rsid w:val="00664C9B"/>
    <w:rsid w:val="00672919"/>
    <w:rsid w:val="00673D5D"/>
    <w:rsid w:val="00673F32"/>
    <w:rsid w:val="0067725C"/>
    <w:rsid w:val="006810DA"/>
    <w:rsid w:val="00686587"/>
    <w:rsid w:val="006904CF"/>
    <w:rsid w:val="00691031"/>
    <w:rsid w:val="006943D0"/>
    <w:rsid w:val="00695EE2"/>
    <w:rsid w:val="0069660B"/>
    <w:rsid w:val="006A1B33"/>
    <w:rsid w:val="006A48F1"/>
    <w:rsid w:val="006A71A3"/>
    <w:rsid w:val="006B03F2"/>
    <w:rsid w:val="006B14C1"/>
    <w:rsid w:val="006B1639"/>
    <w:rsid w:val="006B347D"/>
    <w:rsid w:val="006B5CA7"/>
    <w:rsid w:val="006B5E89"/>
    <w:rsid w:val="006B6671"/>
    <w:rsid w:val="006C19B2"/>
    <w:rsid w:val="006C30A0"/>
    <w:rsid w:val="006C35FF"/>
    <w:rsid w:val="006C57F2"/>
    <w:rsid w:val="006C5949"/>
    <w:rsid w:val="006C6832"/>
    <w:rsid w:val="006D1370"/>
    <w:rsid w:val="006D2C28"/>
    <w:rsid w:val="006D3591"/>
    <w:rsid w:val="006D3FC1"/>
    <w:rsid w:val="006D4B0D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5FEC"/>
    <w:rsid w:val="0071147A"/>
    <w:rsid w:val="0071185D"/>
    <w:rsid w:val="007217E3"/>
    <w:rsid w:val="00721E01"/>
    <w:rsid w:val="007222AD"/>
    <w:rsid w:val="00726050"/>
    <w:rsid w:val="007267CF"/>
    <w:rsid w:val="00726F30"/>
    <w:rsid w:val="00731F3F"/>
    <w:rsid w:val="00733BAB"/>
    <w:rsid w:val="00734E82"/>
    <w:rsid w:val="00737502"/>
    <w:rsid w:val="007436BF"/>
    <w:rsid w:val="007443E9"/>
    <w:rsid w:val="00745DCE"/>
    <w:rsid w:val="00753D89"/>
    <w:rsid w:val="00754C13"/>
    <w:rsid w:val="00755C9B"/>
    <w:rsid w:val="00757DF3"/>
    <w:rsid w:val="00760FE4"/>
    <w:rsid w:val="00763D8B"/>
    <w:rsid w:val="007657F6"/>
    <w:rsid w:val="00765E47"/>
    <w:rsid w:val="0076668B"/>
    <w:rsid w:val="0077125A"/>
    <w:rsid w:val="007729F4"/>
    <w:rsid w:val="0078400C"/>
    <w:rsid w:val="0078405B"/>
    <w:rsid w:val="00786F58"/>
    <w:rsid w:val="00787CC1"/>
    <w:rsid w:val="00787E39"/>
    <w:rsid w:val="007903CE"/>
    <w:rsid w:val="00792F4E"/>
    <w:rsid w:val="0079398D"/>
    <w:rsid w:val="00795C00"/>
    <w:rsid w:val="00796C25"/>
    <w:rsid w:val="007A287C"/>
    <w:rsid w:val="007A3B2A"/>
    <w:rsid w:val="007B5522"/>
    <w:rsid w:val="007C0EE0"/>
    <w:rsid w:val="007C1328"/>
    <w:rsid w:val="007C1B71"/>
    <w:rsid w:val="007C2FBB"/>
    <w:rsid w:val="007C5C5C"/>
    <w:rsid w:val="007C7164"/>
    <w:rsid w:val="007C7645"/>
    <w:rsid w:val="007C7CB9"/>
    <w:rsid w:val="007D1984"/>
    <w:rsid w:val="007D2AFE"/>
    <w:rsid w:val="007D58C4"/>
    <w:rsid w:val="007D6900"/>
    <w:rsid w:val="007E3264"/>
    <w:rsid w:val="007E3FEA"/>
    <w:rsid w:val="007F0A0B"/>
    <w:rsid w:val="007F25C1"/>
    <w:rsid w:val="007F3A60"/>
    <w:rsid w:val="007F3D0B"/>
    <w:rsid w:val="007F7C94"/>
    <w:rsid w:val="008001AE"/>
    <w:rsid w:val="0080373C"/>
    <w:rsid w:val="0080520C"/>
    <w:rsid w:val="00810E4B"/>
    <w:rsid w:val="00813D0C"/>
    <w:rsid w:val="00814BAA"/>
    <w:rsid w:val="008169C2"/>
    <w:rsid w:val="00824295"/>
    <w:rsid w:val="00825F57"/>
    <w:rsid w:val="00830473"/>
    <w:rsid w:val="0083050B"/>
    <w:rsid w:val="008313F3"/>
    <w:rsid w:val="008405BB"/>
    <w:rsid w:val="00840FC2"/>
    <w:rsid w:val="00844132"/>
    <w:rsid w:val="00846494"/>
    <w:rsid w:val="00847B20"/>
    <w:rsid w:val="008509D3"/>
    <w:rsid w:val="00853418"/>
    <w:rsid w:val="00857CF6"/>
    <w:rsid w:val="008610ED"/>
    <w:rsid w:val="00861C6A"/>
    <w:rsid w:val="00862F97"/>
    <w:rsid w:val="00865199"/>
    <w:rsid w:val="00867653"/>
    <w:rsid w:val="00867EAF"/>
    <w:rsid w:val="0087008E"/>
    <w:rsid w:val="008711AC"/>
    <w:rsid w:val="008713EA"/>
    <w:rsid w:val="00873C6B"/>
    <w:rsid w:val="0088426A"/>
    <w:rsid w:val="00884FC3"/>
    <w:rsid w:val="008852BA"/>
    <w:rsid w:val="00890108"/>
    <w:rsid w:val="00890E62"/>
    <w:rsid w:val="00893877"/>
    <w:rsid w:val="0089532C"/>
    <w:rsid w:val="00896165"/>
    <w:rsid w:val="00896681"/>
    <w:rsid w:val="008A2749"/>
    <w:rsid w:val="008A275F"/>
    <w:rsid w:val="008A3A90"/>
    <w:rsid w:val="008A5CC9"/>
    <w:rsid w:val="008B06D4"/>
    <w:rsid w:val="008B4F20"/>
    <w:rsid w:val="008B7FFD"/>
    <w:rsid w:val="008C04BE"/>
    <w:rsid w:val="008C0998"/>
    <w:rsid w:val="008C2920"/>
    <w:rsid w:val="008C4307"/>
    <w:rsid w:val="008D23DF"/>
    <w:rsid w:val="008D251E"/>
    <w:rsid w:val="008D380E"/>
    <w:rsid w:val="008D73BF"/>
    <w:rsid w:val="008D7F09"/>
    <w:rsid w:val="008E2F74"/>
    <w:rsid w:val="008E5B64"/>
    <w:rsid w:val="008E64C4"/>
    <w:rsid w:val="008E7DAA"/>
    <w:rsid w:val="008F0094"/>
    <w:rsid w:val="008F2374"/>
    <w:rsid w:val="008F340F"/>
    <w:rsid w:val="008F6927"/>
    <w:rsid w:val="00903523"/>
    <w:rsid w:val="0090659A"/>
    <w:rsid w:val="00911080"/>
    <w:rsid w:val="009113A5"/>
    <w:rsid w:val="00911571"/>
    <w:rsid w:val="009134D0"/>
    <w:rsid w:val="009153C7"/>
    <w:rsid w:val="00915986"/>
    <w:rsid w:val="00917624"/>
    <w:rsid w:val="00922062"/>
    <w:rsid w:val="00923E1E"/>
    <w:rsid w:val="00925F3C"/>
    <w:rsid w:val="009263B4"/>
    <w:rsid w:val="00930386"/>
    <w:rsid w:val="009309F5"/>
    <w:rsid w:val="00933237"/>
    <w:rsid w:val="00933B22"/>
    <w:rsid w:val="00933F28"/>
    <w:rsid w:val="009354B6"/>
    <w:rsid w:val="009435D1"/>
    <w:rsid w:val="009476C0"/>
    <w:rsid w:val="00963E34"/>
    <w:rsid w:val="00964DFA"/>
    <w:rsid w:val="0097026A"/>
    <w:rsid w:val="00971E61"/>
    <w:rsid w:val="0098155C"/>
    <w:rsid w:val="00983B77"/>
    <w:rsid w:val="009928B0"/>
    <w:rsid w:val="00996053"/>
    <w:rsid w:val="00996111"/>
    <w:rsid w:val="00996181"/>
    <w:rsid w:val="009A0B2F"/>
    <w:rsid w:val="009A135E"/>
    <w:rsid w:val="009A1CF4"/>
    <w:rsid w:val="009A29AC"/>
    <w:rsid w:val="009A37D7"/>
    <w:rsid w:val="009A4E17"/>
    <w:rsid w:val="009A620F"/>
    <w:rsid w:val="009A6955"/>
    <w:rsid w:val="009A6C3E"/>
    <w:rsid w:val="009B2054"/>
    <w:rsid w:val="009B341C"/>
    <w:rsid w:val="009B5747"/>
    <w:rsid w:val="009D2C27"/>
    <w:rsid w:val="009D2C3E"/>
    <w:rsid w:val="009D4CAC"/>
    <w:rsid w:val="009E2309"/>
    <w:rsid w:val="009E42B9"/>
    <w:rsid w:val="009F4C2E"/>
    <w:rsid w:val="009F5064"/>
    <w:rsid w:val="00A014A3"/>
    <w:rsid w:val="00A035F7"/>
    <w:rsid w:val="00A0412D"/>
    <w:rsid w:val="00A11B1D"/>
    <w:rsid w:val="00A1212D"/>
    <w:rsid w:val="00A169D7"/>
    <w:rsid w:val="00A21211"/>
    <w:rsid w:val="00A34ABF"/>
    <w:rsid w:val="00A34E7F"/>
    <w:rsid w:val="00A34FCB"/>
    <w:rsid w:val="00A37DA1"/>
    <w:rsid w:val="00A40ED8"/>
    <w:rsid w:val="00A46F0A"/>
    <w:rsid w:val="00A46F25"/>
    <w:rsid w:val="00A47CC2"/>
    <w:rsid w:val="00A502BA"/>
    <w:rsid w:val="00A52EB5"/>
    <w:rsid w:val="00A52F8D"/>
    <w:rsid w:val="00A60146"/>
    <w:rsid w:val="00A622C4"/>
    <w:rsid w:val="00A6283D"/>
    <w:rsid w:val="00A7048A"/>
    <w:rsid w:val="00A72B1E"/>
    <w:rsid w:val="00A754B4"/>
    <w:rsid w:val="00A807C1"/>
    <w:rsid w:val="00A81643"/>
    <w:rsid w:val="00A83230"/>
    <w:rsid w:val="00A83374"/>
    <w:rsid w:val="00A939A0"/>
    <w:rsid w:val="00A96172"/>
    <w:rsid w:val="00A97C5F"/>
    <w:rsid w:val="00AA2AF0"/>
    <w:rsid w:val="00AA7B04"/>
    <w:rsid w:val="00AB0D6A"/>
    <w:rsid w:val="00AB43B3"/>
    <w:rsid w:val="00AB49B9"/>
    <w:rsid w:val="00AB758A"/>
    <w:rsid w:val="00AB7932"/>
    <w:rsid w:val="00AC027E"/>
    <w:rsid w:val="00AC1E7E"/>
    <w:rsid w:val="00AC507D"/>
    <w:rsid w:val="00AC66E4"/>
    <w:rsid w:val="00AC6A64"/>
    <w:rsid w:val="00AD04F2"/>
    <w:rsid w:val="00AD4578"/>
    <w:rsid w:val="00AD6421"/>
    <w:rsid w:val="00AD68E9"/>
    <w:rsid w:val="00AE44CC"/>
    <w:rsid w:val="00AE56C0"/>
    <w:rsid w:val="00AF368D"/>
    <w:rsid w:val="00B0070F"/>
    <w:rsid w:val="00B00914"/>
    <w:rsid w:val="00B02A8E"/>
    <w:rsid w:val="00B052EE"/>
    <w:rsid w:val="00B0727D"/>
    <w:rsid w:val="00B1081F"/>
    <w:rsid w:val="00B10A16"/>
    <w:rsid w:val="00B1746A"/>
    <w:rsid w:val="00B27499"/>
    <w:rsid w:val="00B27B5F"/>
    <w:rsid w:val="00B3010D"/>
    <w:rsid w:val="00B3212B"/>
    <w:rsid w:val="00B32178"/>
    <w:rsid w:val="00B324B4"/>
    <w:rsid w:val="00B35151"/>
    <w:rsid w:val="00B433F2"/>
    <w:rsid w:val="00B458E8"/>
    <w:rsid w:val="00B50472"/>
    <w:rsid w:val="00B538D7"/>
    <w:rsid w:val="00B5397B"/>
    <w:rsid w:val="00B53C5B"/>
    <w:rsid w:val="00B53EE9"/>
    <w:rsid w:val="00B57A66"/>
    <w:rsid w:val="00B62809"/>
    <w:rsid w:val="00B766EF"/>
    <w:rsid w:val="00B7675A"/>
    <w:rsid w:val="00B81898"/>
    <w:rsid w:val="00B83D07"/>
    <w:rsid w:val="00B8606B"/>
    <w:rsid w:val="00B878E7"/>
    <w:rsid w:val="00B87DAB"/>
    <w:rsid w:val="00B971BB"/>
    <w:rsid w:val="00B97278"/>
    <w:rsid w:val="00B97943"/>
    <w:rsid w:val="00BA157F"/>
    <w:rsid w:val="00BA1D0B"/>
    <w:rsid w:val="00BA2A8E"/>
    <w:rsid w:val="00BA6972"/>
    <w:rsid w:val="00BB0C8F"/>
    <w:rsid w:val="00BB1289"/>
    <w:rsid w:val="00BB1E0D"/>
    <w:rsid w:val="00BB4D9B"/>
    <w:rsid w:val="00BB73FF"/>
    <w:rsid w:val="00BB7688"/>
    <w:rsid w:val="00BC3004"/>
    <w:rsid w:val="00BC43B4"/>
    <w:rsid w:val="00BC5CFC"/>
    <w:rsid w:val="00BC7CAC"/>
    <w:rsid w:val="00BD6D76"/>
    <w:rsid w:val="00BE2FC8"/>
    <w:rsid w:val="00BE56B3"/>
    <w:rsid w:val="00BE676D"/>
    <w:rsid w:val="00BF04E8"/>
    <w:rsid w:val="00BF16BF"/>
    <w:rsid w:val="00BF4D1F"/>
    <w:rsid w:val="00BF62BD"/>
    <w:rsid w:val="00C02A73"/>
    <w:rsid w:val="00C063D2"/>
    <w:rsid w:val="00C07FD9"/>
    <w:rsid w:val="00C10955"/>
    <w:rsid w:val="00C11C4D"/>
    <w:rsid w:val="00C165AF"/>
    <w:rsid w:val="00C16E12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065D"/>
    <w:rsid w:val="00C513AF"/>
    <w:rsid w:val="00C52BA6"/>
    <w:rsid w:val="00C52CDD"/>
    <w:rsid w:val="00C57A1A"/>
    <w:rsid w:val="00C6258F"/>
    <w:rsid w:val="00C63DF6"/>
    <w:rsid w:val="00C63E58"/>
    <w:rsid w:val="00C6495E"/>
    <w:rsid w:val="00C670EE"/>
    <w:rsid w:val="00C67E3B"/>
    <w:rsid w:val="00C7317D"/>
    <w:rsid w:val="00C732BD"/>
    <w:rsid w:val="00C737EC"/>
    <w:rsid w:val="00C76571"/>
    <w:rsid w:val="00C81C1B"/>
    <w:rsid w:val="00C872E4"/>
    <w:rsid w:val="00C90311"/>
    <w:rsid w:val="00C91C26"/>
    <w:rsid w:val="00C96FC2"/>
    <w:rsid w:val="00CA3DC7"/>
    <w:rsid w:val="00CA694E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18F0"/>
    <w:rsid w:val="00CD496A"/>
    <w:rsid w:val="00CD6DE6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885"/>
    <w:rsid w:val="00D00D7D"/>
    <w:rsid w:val="00D139C8"/>
    <w:rsid w:val="00D17F81"/>
    <w:rsid w:val="00D2758C"/>
    <w:rsid w:val="00D275CA"/>
    <w:rsid w:val="00D2789B"/>
    <w:rsid w:val="00D345AB"/>
    <w:rsid w:val="00D41566"/>
    <w:rsid w:val="00D429A0"/>
    <w:rsid w:val="00D458EC"/>
    <w:rsid w:val="00D501B0"/>
    <w:rsid w:val="00D505CB"/>
    <w:rsid w:val="00D515DA"/>
    <w:rsid w:val="00D52582"/>
    <w:rsid w:val="00D534B9"/>
    <w:rsid w:val="00D56A0E"/>
    <w:rsid w:val="00D5781E"/>
    <w:rsid w:val="00D57AD3"/>
    <w:rsid w:val="00D635FE"/>
    <w:rsid w:val="00D729DE"/>
    <w:rsid w:val="00D75B6A"/>
    <w:rsid w:val="00D80A08"/>
    <w:rsid w:val="00D849F9"/>
    <w:rsid w:val="00D84BDA"/>
    <w:rsid w:val="00D876A8"/>
    <w:rsid w:val="00D87F26"/>
    <w:rsid w:val="00D9020A"/>
    <w:rsid w:val="00D93063"/>
    <w:rsid w:val="00D933B0"/>
    <w:rsid w:val="00D93ADC"/>
    <w:rsid w:val="00D977E8"/>
    <w:rsid w:val="00D97B16"/>
    <w:rsid w:val="00DA179F"/>
    <w:rsid w:val="00DA5E26"/>
    <w:rsid w:val="00DB1C89"/>
    <w:rsid w:val="00DB3763"/>
    <w:rsid w:val="00DB4029"/>
    <w:rsid w:val="00DB5F4D"/>
    <w:rsid w:val="00DB6DA5"/>
    <w:rsid w:val="00DB6EEA"/>
    <w:rsid w:val="00DC076B"/>
    <w:rsid w:val="00DC186F"/>
    <w:rsid w:val="00DC252F"/>
    <w:rsid w:val="00DC4EB6"/>
    <w:rsid w:val="00DC6050"/>
    <w:rsid w:val="00DD43EA"/>
    <w:rsid w:val="00DD75B6"/>
    <w:rsid w:val="00DE06FF"/>
    <w:rsid w:val="00DE6F44"/>
    <w:rsid w:val="00DF0BF9"/>
    <w:rsid w:val="00DF7C67"/>
    <w:rsid w:val="00E037D9"/>
    <w:rsid w:val="00E041EC"/>
    <w:rsid w:val="00E04927"/>
    <w:rsid w:val="00E130EB"/>
    <w:rsid w:val="00E162CD"/>
    <w:rsid w:val="00E17FA5"/>
    <w:rsid w:val="00E205C1"/>
    <w:rsid w:val="00E26930"/>
    <w:rsid w:val="00E27257"/>
    <w:rsid w:val="00E449D0"/>
    <w:rsid w:val="00E4506A"/>
    <w:rsid w:val="00E46B07"/>
    <w:rsid w:val="00E5136A"/>
    <w:rsid w:val="00E53F99"/>
    <w:rsid w:val="00E56510"/>
    <w:rsid w:val="00E62EA8"/>
    <w:rsid w:val="00E64B06"/>
    <w:rsid w:val="00E67A6E"/>
    <w:rsid w:val="00E67CAB"/>
    <w:rsid w:val="00E71B43"/>
    <w:rsid w:val="00E81612"/>
    <w:rsid w:val="00E816B6"/>
    <w:rsid w:val="00E84B6D"/>
    <w:rsid w:val="00E87D18"/>
    <w:rsid w:val="00E87D62"/>
    <w:rsid w:val="00E9055D"/>
    <w:rsid w:val="00EA05BC"/>
    <w:rsid w:val="00EA486E"/>
    <w:rsid w:val="00EA4FA3"/>
    <w:rsid w:val="00EA645A"/>
    <w:rsid w:val="00EB001B"/>
    <w:rsid w:val="00EB1201"/>
    <w:rsid w:val="00EB3082"/>
    <w:rsid w:val="00EB6C33"/>
    <w:rsid w:val="00EC2473"/>
    <w:rsid w:val="00ED6019"/>
    <w:rsid w:val="00ED7830"/>
    <w:rsid w:val="00EE07DD"/>
    <w:rsid w:val="00EE3909"/>
    <w:rsid w:val="00EE79FE"/>
    <w:rsid w:val="00EF4205"/>
    <w:rsid w:val="00EF5939"/>
    <w:rsid w:val="00F00E4C"/>
    <w:rsid w:val="00F01714"/>
    <w:rsid w:val="00F0258F"/>
    <w:rsid w:val="00F02D06"/>
    <w:rsid w:val="00F056E5"/>
    <w:rsid w:val="00F063E0"/>
    <w:rsid w:val="00F06FDD"/>
    <w:rsid w:val="00F104CF"/>
    <w:rsid w:val="00F10819"/>
    <w:rsid w:val="00F1544B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BD9"/>
    <w:rsid w:val="00F55568"/>
    <w:rsid w:val="00F55B23"/>
    <w:rsid w:val="00F60BE0"/>
    <w:rsid w:val="00F6280E"/>
    <w:rsid w:val="00F665D4"/>
    <w:rsid w:val="00F7026E"/>
    <w:rsid w:val="00F7050A"/>
    <w:rsid w:val="00F744D8"/>
    <w:rsid w:val="00F75533"/>
    <w:rsid w:val="00F75CAB"/>
    <w:rsid w:val="00F809DC"/>
    <w:rsid w:val="00F81043"/>
    <w:rsid w:val="00F81933"/>
    <w:rsid w:val="00F86EB0"/>
    <w:rsid w:val="00F90769"/>
    <w:rsid w:val="00F9079E"/>
    <w:rsid w:val="00F91B41"/>
    <w:rsid w:val="00F94300"/>
    <w:rsid w:val="00FA0419"/>
    <w:rsid w:val="00FA3209"/>
    <w:rsid w:val="00FA3811"/>
    <w:rsid w:val="00FA3B9F"/>
    <w:rsid w:val="00FA3F06"/>
    <w:rsid w:val="00FA4A26"/>
    <w:rsid w:val="00FA7084"/>
    <w:rsid w:val="00FA7BEF"/>
    <w:rsid w:val="00FB1929"/>
    <w:rsid w:val="00FB3176"/>
    <w:rsid w:val="00FB5FD9"/>
    <w:rsid w:val="00FC32E8"/>
    <w:rsid w:val="00FD33AB"/>
    <w:rsid w:val="00FD4724"/>
    <w:rsid w:val="00FD4A68"/>
    <w:rsid w:val="00FD68ED"/>
    <w:rsid w:val="00FD68FC"/>
    <w:rsid w:val="00FD6A0C"/>
    <w:rsid w:val="00FE0ACE"/>
    <w:rsid w:val="00FE2824"/>
    <w:rsid w:val="00FE46C3"/>
    <w:rsid w:val="00FE661F"/>
    <w:rsid w:val="00FF0400"/>
    <w:rsid w:val="00FF11B8"/>
    <w:rsid w:val="00FF2CD2"/>
    <w:rsid w:val="00FF3D6B"/>
    <w:rsid w:val="00FF446E"/>
    <w:rsid w:val="00FF5407"/>
    <w:rsid w:val="00FF6270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9122F"/>
  <w15:docId w15:val="{96CE83CA-D072-48F2-94C8-8D4B976C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3E53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96C7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Documents\Unicon\Curriculum_Templates\Lab%20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9FE9F-9C2B-4824-8288-CB205B09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 Template - ILM.dotx</Template>
  <TotalTime>0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rofloria@cisco.com</dc:creator>
  <cp:lastModifiedBy>dholzing</cp:lastModifiedBy>
  <cp:revision>2</cp:revision>
  <cp:lastPrinted>2019-01-19T01:01:00Z</cp:lastPrinted>
  <dcterms:created xsi:type="dcterms:W3CDTF">2019-01-19T01:02:00Z</dcterms:created>
  <dcterms:modified xsi:type="dcterms:W3CDTF">2019-01-19T01:02:00Z</dcterms:modified>
</cp:coreProperties>
</file>